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Theme="majorEastAsia" w:hAnsiTheme="majorEastAsia" w:eastAsiaTheme="majorEastAsia"/>
          <w:b w:val="0"/>
          <w:bCs/>
          <w:sz w:val="44"/>
          <w:szCs w:val="44"/>
        </w:rPr>
      </w:pPr>
      <w:r>
        <w:rPr>
          <w:rFonts w:hint="eastAsia" w:asciiTheme="majorEastAsia" w:hAnsiTheme="majorEastAsia" w:eastAsiaTheme="majorEastAsia"/>
          <w:b w:val="0"/>
          <w:bCs/>
          <w:sz w:val="44"/>
          <w:szCs w:val="44"/>
          <w:lang w:eastAsia="zh-CN"/>
        </w:rPr>
        <w:t>2017</w:t>
      </w:r>
      <w:r>
        <w:rPr>
          <w:rFonts w:hint="eastAsia" w:asciiTheme="majorEastAsia" w:hAnsiTheme="majorEastAsia" w:eastAsiaTheme="majorEastAsia"/>
          <w:b w:val="0"/>
          <w:bCs/>
          <w:sz w:val="44"/>
          <w:szCs w:val="44"/>
        </w:rPr>
        <w:t>年</w:t>
      </w:r>
      <w:r>
        <w:rPr>
          <w:rFonts w:hint="eastAsia" w:asciiTheme="majorEastAsia" w:hAnsiTheme="majorEastAsia" w:eastAsiaTheme="majorEastAsia"/>
          <w:b w:val="0"/>
          <w:bCs/>
          <w:sz w:val="44"/>
          <w:szCs w:val="44"/>
          <w:lang w:eastAsia="zh-CN"/>
        </w:rPr>
        <w:t>度</w:t>
      </w:r>
      <w:r>
        <w:rPr>
          <w:rFonts w:hint="eastAsia" w:asciiTheme="majorEastAsia" w:hAnsiTheme="majorEastAsia" w:eastAsiaTheme="majorEastAsia"/>
          <w:b w:val="0"/>
          <w:bCs/>
          <w:sz w:val="44"/>
          <w:szCs w:val="44"/>
        </w:rPr>
        <w:t>三河市食品药品监督管理局</w:t>
      </w:r>
    </w:p>
    <w:p>
      <w:pPr>
        <w:widowControl/>
        <w:spacing w:line="520" w:lineRule="exact"/>
        <w:jc w:val="center"/>
        <w:rPr>
          <w:rFonts w:asciiTheme="majorEastAsia" w:hAnsiTheme="majorEastAsia" w:eastAsiaTheme="majorEastAsia"/>
          <w:b w:val="0"/>
          <w:bCs/>
          <w:sz w:val="44"/>
          <w:szCs w:val="44"/>
        </w:rPr>
      </w:pPr>
      <w:r>
        <w:rPr>
          <w:rFonts w:hint="eastAsia" w:asciiTheme="majorEastAsia" w:hAnsiTheme="majorEastAsia" w:eastAsiaTheme="majorEastAsia"/>
          <w:b w:val="0"/>
          <w:bCs/>
          <w:sz w:val="44"/>
          <w:szCs w:val="44"/>
          <w:lang w:eastAsia="zh-CN"/>
        </w:rPr>
        <w:t>部门</w:t>
      </w:r>
      <w:r>
        <w:rPr>
          <w:rFonts w:hint="eastAsia" w:asciiTheme="majorEastAsia" w:hAnsiTheme="majorEastAsia" w:eastAsiaTheme="majorEastAsia"/>
          <w:b w:val="0"/>
          <w:bCs/>
          <w:sz w:val="44"/>
          <w:szCs w:val="44"/>
        </w:rPr>
        <w:t>决算信息公开情况说明</w:t>
      </w:r>
    </w:p>
    <w:p>
      <w:pPr>
        <w:widowControl/>
        <w:spacing w:line="520" w:lineRule="exact"/>
        <w:jc w:val="center"/>
        <w:rPr>
          <w:rFonts w:ascii="仿宋_GB2312" w:hAnsi="仿宋" w:eastAsia="仿宋_GB2312"/>
          <w:color w:val="FF0000"/>
          <w:sz w:val="36"/>
          <w:szCs w:val="36"/>
        </w:rPr>
      </w:pP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按照</w:t>
      </w:r>
      <w:r>
        <w:rPr>
          <w:rFonts w:hint="eastAsia" w:ascii="仿宋_GB2312" w:hAnsi="仿宋" w:eastAsia="仿宋_GB2312"/>
          <w:sz w:val="32"/>
          <w:szCs w:val="32"/>
          <w:lang w:eastAsia="zh-CN"/>
        </w:rPr>
        <w:t>《</w:t>
      </w:r>
      <w:r>
        <w:rPr>
          <w:rFonts w:hint="eastAsia" w:eastAsia="仿宋_GB2312"/>
          <w:sz w:val="32"/>
          <w:szCs w:val="32"/>
        </w:rPr>
        <w:t>中华人民共和国预算法》、《河北省人民政府信息公开条例》、《中共河北省委办公厅</w:t>
      </w:r>
      <w:r>
        <w:rPr>
          <w:rFonts w:eastAsia="仿宋_GB2312"/>
          <w:sz w:val="32"/>
          <w:szCs w:val="32"/>
        </w:rPr>
        <w:t xml:space="preserve"> </w:t>
      </w:r>
      <w:r>
        <w:rPr>
          <w:rFonts w:hint="eastAsia" w:eastAsia="仿宋_GB2312"/>
          <w:sz w:val="32"/>
          <w:szCs w:val="32"/>
        </w:rPr>
        <w:t>河北省人民政府办公厅印发</w:t>
      </w:r>
      <w:r>
        <w:rPr>
          <w:rFonts w:eastAsia="仿宋_GB2312"/>
          <w:sz w:val="32"/>
          <w:szCs w:val="32"/>
        </w:rPr>
        <w:t>&lt;</w:t>
      </w:r>
      <w:r>
        <w:rPr>
          <w:rFonts w:hint="eastAsia" w:eastAsia="仿宋_GB2312"/>
          <w:sz w:val="32"/>
          <w:szCs w:val="32"/>
        </w:rPr>
        <w:t>关于进一步推进预算公开工作的实施意见</w:t>
      </w:r>
      <w:r>
        <w:rPr>
          <w:rFonts w:eastAsia="仿宋_GB2312"/>
          <w:sz w:val="32"/>
          <w:szCs w:val="32"/>
        </w:rPr>
        <w:t>&gt;</w:t>
      </w:r>
      <w:r>
        <w:rPr>
          <w:rFonts w:hint="eastAsia" w:eastAsia="仿宋_GB2312"/>
          <w:sz w:val="32"/>
          <w:szCs w:val="32"/>
        </w:rPr>
        <w:t>的通知》（冀办发〔</w:t>
      </w:r>
      <w:r>
        <w:rPr>
          <w:rFonts w:eastAsia="仿宋_GB2312"/>
          <w:sz w:val="32"/>
          <w:szCs w:val="32"/>
        </w:rPr>
        <w:t>2016</w:t>
      </w:r>
      <w:r>
        <w:rPr>
          <w:rFonts w:hint="eastAsia" w:eastAsia="仿宋_GB2312"/>
          <w:sz w:val="32"/>
          <w:szCs w:val="32"/>
        </w:rPr>
        <w:t>〕</w:t>
      </w:r>
      <w:r>
        <w:rPr>
          <w:rFonts w:eastAsia="仿宋_GB2312"/>
          <w:sz w:val="32"/>
          <w:szCs w:val="32"/>
        </w:rPr>
        <w:t>29</w:t>
      </w:r>
      <w:r>
        <w:rPr>
          <w:rFonts w:hint="eastAsia" w:eastAsia="仿宋_GB2312"/>
          <w:sz w:val="32"/>
          <w:szCs w:val="32"/>
        </w:rPr>
        <w:t>号）和</w:t>
      </w:r>
      <w:r>
        <w:rPr>
          <w:rFonts w:hint="eastAsia" w:ascii="仿宋_GB2312" w:hAnsi="仿宋" w:eastAsia="仿宋_GB2312"/>
          <w:sz w:val="32"/>
          <w:szCs w:val="32"/>
        </w:rPr>
        <w:t>《河北省财政厅关于印发&lt;河北省预决算公开操作规程实施细则&gt;的通知》（冀财预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129号）等规定，现将2017年度部门决算公开如下：</w:t>
      </w:r>
    </w:p>
    <w:p>
      <w:pPr>
        <w:widowControl/>
        <w:numPr>
          <w:ilvl w:val="0"/>
          <w:numId w:val="1"/>
        </w:num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部门职责及机构设置情况</w:t>
      </w:r>
    </w:p>
    <w:p>
      <w:pPr>
        <w:widowControl/>
        <w:spacing w:line="520" w:lineRule="exact"/>
        <w:ind w:firstLine="643" w:firstLineChars="200"/>
        <w:jc w:val="left"/>
        <w:rPr>
          <w:rFonts w:hint="eastAsia" w:ascii="楷体_GB2312" w:hAnsi="黑体" w:eastAsia="楷体_GB2312" w:cs="黑体"/>
          <w:b/>
          <w:sz w:val="32"/>
          <w:szCs w:val="32"/>
        </w:rPr>
      </w:pPr>
      <w:r>
        <w:rPr>
          <w:rFonts w:hint="eastAsia" w:ascii="楷体_GB2312" w:hAnsi="黑体" w:eastAsia="楷体_GB2312" w:cs="黑体"/>
          <w:b/>
          <w:sz w:val="32"/>
          <w:szCs w:val="32"/>
        </w:rPr>
        <w:t>部门职责：</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贯彻执行国家、省、市食品（含食品添如剂、保健食品，下同）、药品（含中药、民族药，下同）、医疗器械、化妆品监督管理的法律法规和方针政策。建立完善全市食品、药品、医疗器械、化妆品监管制度，推动建立落实企业主体责任和政府负总责的机制，并组织实施和监督检查。</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承担全市食品（含酒类）生产、流通、消费环节安全监督管理工作。根据食品安全风险监测方案开展食品安全风险监测。建立完善全市食品安全隐患排查治理机制，制定全市食品安全检查年度计划、重大整顿治理方案并组织落实。</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负责药品、医疗器械监督管理，监督实施国家药品、医疗器械标准，监督实施药品、医疗器械研制、生产、经营、使用方面的质量管理规范；建立药品不良反应、医疗器械不良反应事件和药物滥用检测体系，并开展监测和处置工作，配合实施国家基本药物制度。</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4、负责化妆品的监督管理和全市化妆品不良反应监测的管理。</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5、监督实施中药材生产质量管理规范、中药饮片炮制规范。依法实施中药品种保护制度。</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6、负责制定食品、药品、医疗器械、化妆品监督管理的稽查制度并组织实施，组织查处重大违法行为。监督实施问题产品召回和处置制度。</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7、负责食品药品安全事故应急体系建设，组织指导食品药品安全事故应急处置和调查处理工作，监督事故查处落实情况。</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8、负责建立食品、药品、医疗器械、化妆品安全信息统一发布制度和重大信息直报制度，公布重大安全信息。负责对食品、药品、医疗器械、化妆品等广告进行检查和监测。</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9、负责制定全市食品药品安全科技发展规划并组织实施，推动食品药品检验检测体系、电子监管追溯体系和信息化建设。</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10、负责开展食品药品安全宣传、教育培训、交流合作。推进诚信体系建设。</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11、按规定组织实施食品药品等从业人员的培训和执业资格准入制度。</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12、负责指导和监督全市食品药品监督管理工作，规范行政执法行为，推动完善行政执法与刑事司法衔接机制。</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13、承担三河市人民政府食品安全委员会日常工作。负责食品安全监督管理综合协调，推动健全协调联动机制。督促检查乡镇、开发区（园区）和市直有关部门履行食品药品安全监督管理职责，并负责考核评价。</w:t>
      </w:r>
    </w:p>
    <w:p>
      <w:pPr>
        <w:widowControl/>
        <w:spacing w:line="520" w:lineRule="exact"/>
        <w:ind w:firstLine="640" w:firstLineChars="200"/>
        <w:jc w:val="left"/>
        <w:rPr>
          <w:rFonts w:hint="eastAsia" w:ascii="楷体_GB2312" w:hAnsi="黑体" w:eastAsia="楷体_GB2312" w:cs="黑体"/>
          <w:b/>
          <w:sz w:val="32"/>
          <w:szCs w:val="32"/>
        </w:rPr>
      </w:pPr>
      <w:r>
        <w:rPr>
          <w:rFonts w:hint="eastAsia" w:ascii="仿宋_GB2312" w:hAnsi="仿宋" w:eastAsia="仿宋_GB2312"/>
          <w:sz w:val="32"/>
          <w:szCs w:val="32"/>
        </w:rPr>
        <w:t>14、承办市政府及市政府食品安全委员会交办的其他事项。</w:t>
      </w:r>
    </w:p>
    <w:p>
      <w:pPr>
        <w:widowControl/>
        <w:spacing w:line="520" w:lineRule="exact"/>
        <w:ind w:firstLine="643" w:firstLineChars="200"/>
        <w:jc w:val="left"/>
        <w:rPr>
          <w:rFonts w:ascii="楷体_GB2312" w:hAnsi="黑体" w:eastAsia="楷体_GB2312" w:cs="黑体"/>
          <w:b/>
          <w:sz w:val="32"/>
          <w:szCs w:val="32"/>
        </w:rPr>
      </w:pPr>
      <w:r>
        <w:rPr>
          <w:rFonts w:hint="eastAsia" w:ascii="楷体_GB2312" w:hAnsi="黑体" w:eastAsia="楷体_GB2312" w:cs="黑体"/>
          <w:b/>
          <w:sz w:val="32"/>
          <w:szCs w:val="32"/>
        </w:rPr>
        <w:t>机构设置：</w:t>
      </w:r>
    </w:p>
    <w:p>
      <w:pPr>
        <w:spacing w:line="520" w:lineRule="exact"/>
        <w:jc w:val="center"/>
        <w:outlineLvl w:val="0"/>
        <w:rPr>
          <w:rFonts w:eastAsia="方正小标宋_GBK"/>
          <w:sz w:val="28"/>
          <w:szCs w:val="28"/>
        </w:rPr>
      </w:pPr>
      <w:r>
        <w:rPr>
          <w:rFonts w:eastAsia="方正小标宋_GBK"/>
          <w:sz w:val="28"/>
          <w:szCs w:val="28"/>
        </w:rPr>
        <w:t>部门机构设置情况</w:t>
      </w:r>
    </w:p>
    <w:tbl>
      <w:tblPr>
        <w:tblStyle w:val="5"/>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blHeader/>
          <w:jc w:val="center"/>
        </w:trPr>
        <w:tc>
          <w:tcPr>
            <w:tcW w:w="3316" w:type="dxa"/>
            <w:vMerge w:val="restart"/>
            <w:vAlign w:val="center"/>
          </w:tcPr>
          <w:p>
            <w:pPr>
              <w:spacing w:line="520" w:lineRule="exact"/>
              <w:jc w:val="center"/>
              <w:rPr>
                <w:rFonts w:eastAsia="方正书宋_GBK"/>
                <w:b/>
              </w:rPr>
            </w:pPr>
            <w:r>
              <w:rPr>
                <w:rFonts w:eastAsia="方正书宋_GBK"/>
                <w:b/>
              </w:rPr>
              <w:t>单位名称</w:t>
            </w:r>
          </w:p>
        </w:tc>
        <w:tc>
          <w:tcPr>
            <w:tcW w:w="1887" w:type="dxa"/>
            <w:vMerge w:val="restart"/>
            <w:vAlign w:val="center"/>
          </w:tcPr>
          <w:p>
            <w:pPr>
              <w:spacing w:line="520" w:lineRule="exact"/>
              <w:jc w:val="center"/>
              <w:rPr>
                <w:rFonts w:eastAsia="方正书宋_GBK"/>
                <w:b/>
              </w:rPr>
            </w:pPr>
            <w:r>
              <w:rPr>
                <w:rFonts w:eastAsia="方正书宋_GBK"/>
                <w:b/>
              </w:rPr>
              <w:t>单位性质</w:t>
            </w:r>
          </w:p>
        </w:tc>
        <w:tc>
          <w:tcPr>
            <w:tcW w:w="1190" w:type="dxa"/>
            <w:vMerge w:val="restart"/>
            <w:vAlign w:val="center"/>
          </w:tcPr>
          <w:p>
            <w:pPr>
              <w:spacing w:line="520" w:lineRule="exact"/>
              <w:jc w:val="center"/>
              <w:rPr>
                <w:rFonts w:eastAsia="方正书宋_GBK"/>
                <w:b/>
              </w:rPr>
            </w:pPr>
            <w:r>
              <w:rPr>
                <w:rFonts w:eastAsia="方正书宋_GBK"/>
                <w:b/>
              </w:rPr>
              <w:t>单位规格</w:t>
            </w:r>
          </w:p>
        </w:tc>
        <w:tc>
          <w:tcPr>
            <w:tcW w:w="2707" w:type="dxa"/>
            <w:vMerge w:val="restart"/>
            <w:vAlign w:val="center"/>
          </w:tcPr>
          <w:p>
            <w:pPr>
              <w:spacing w:line="520" w:lineRule="exact"/>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20" w:hRule="atLeast"/>
          <w:tblHeader/>
          <w:jc w:val="center"/>
        </w:trPr>
        <w:tc>
          <w:tcPr>
            <w:tcW w:w="3316" w:type="dxa"/>
            <w:vMerge w:val="continue"/>
            <w:vAlign w:val="center"/>
          </w:tcPr>
          <w:p>
            <w:pPr>
              <w:spacing w:line="520" w:lineRule="exact"/>
              <w:jc w:val="left"/>
              <w:outlineLvl w:val="0"/>
            </w:pPr>
          </w:p>
        </w:tc>
        <w:tc>
          <w:tcPr>
            <w:tcW w:w="1887" w:type="dxa"/>
            <w:vMerge w:val="continue"/>
            <w:vAlign w:val="center"/>
          </w:tcPr>
          <w:p>
            <w:pPr>
              <w:spacing w:line="520" w:lineRule="exact"/>
              <w:jc w:val="left"/>
              <w:outlineLvl w:val="0"/>
            </w:pPr>
          </w:p>
        </w:tc>
        <w:tc>
          <w:tcPr>
            <w:tcW w:w="1190" w:type="dxa"/>
            <w:vMerge w:val="continue"/>
            <w:vAlign w:val="center"/>
          </w:tcPr>
          <w:p>
            <w:pPr>
              <w:spacing w:line="520" w:lineRule="exact"/>
              <w:jc w:val="left"/>
              <w:outlineLvl w:val="0"/>
            </w:pPr>
          </w:p>
        </w:tc>
        <w:tc>
          <w:tcPr>
            <w:tcW w:w="2707" w:type="dxa"/>
            <w:vMerge w:val="continue"/>
            <w:vAlign w:val="center"/>
          </w:tcPr>
          <w:p>
            <w:pPr>
              <w:spacing w:line="52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21" w:hRule="atLeast"/>
          <w:jc w:val="center"/>
        </w:trPr>
        <w:tc>
          <w:tcPr>
            <w:tcW w:w="3316" w:type="dxa"/>
            <w:vAlign w:val="center"/>
          </w:tcPr>
          <w:p>
            <w:pPr>
              <w:spacing w:line="520" w:lineRule="exact"/>
              <w:jc w:val="center"/>
              <w:rPr>
                <w:rFonts w:eastAsia="方正书宋_GBK"/>
              </w:rPr>
            </w:pPr>
            <w:r>
              <w:rPr>
                <w:rFonts w:hint="eastAsia" w:eastAsia="方正书宋_GBK"/>
              </w:rPr>
              <w:t>三河市食品药品监督管理局</w:t>
            </w:r>
          </w:p>
        </w:tc>
        <w:tc>
          <w:tcPr>
            <w:tcW w:w="1887" w:type="dxa"/>
            <w:vAlign w:val="center"/>
          </w:tcPr>
          <w:p>
            <w:pPr>
              <w:spacing w:line="520" w:lineRule="exact"/>
              <w:jc w:val="center"/>
              <w:rPr>
                <w:rFonts w:eastAsia="方正书宋_GBK"/>
              </w:rPr>
            </w:pPr>
            <w:r>
              <w:rPr>
                <w:rFonts w:eastAsia="方正书宋_GBK"/>
              </w:rPr>
              <w:t>行政</w:t>
            </w:r>
          </w:p>
        </w:tc>
        <w:tc>
          <w:tcPr>
            <w:tcW w:w="1190" w:type="dxa"/>
            <w:vAlign w:val="center"/>
          </w:tcPr>
          <w:p>
            <w:pPr>
              <w:spacing w:line="520" w:lineRule="exact"/>
              <w:jc w:val="center"/>
              <w:rPr>
                <w:rFonts w:eastAsia="方正书宋_GBK"/>
              </w:rPr>
            </w:pPr>
            <w:r>
              <w:rPr>
                <w:rFonts w:eastAsia="方正书宋_GBK"/>
              </w:rPr>
              <w:t>正</w:t>
            </w:r>
            <w:r>
              <w:rPr>
                <w:rFonts w:hint="eastAsia" w:eastAsia="方正书宋_GBK"/>
              </w:rPr>
              <w:t>科</w:t>
            </w:r>
            <w:r>
              <w:rPr>
                <w:rFonts w:eastAsia="方正书宋_GBK"/>
              </w:rPr>
              <w:t>级</w:t>
            </w:r>
          </w:p>
        </w:tc>
        <w:tc>
          <w:tcPr>
            <w:tcW w:w="2707" w:type="dxa"/>
            <w:vAlign w:val="center"/>
          </w:tcPr>
          <w:p>
            <w:pPr>
              <w:spacing w:line="520" w:lineRule="exact"/>
              <w:jc w:val="center"/>
              <w:rPr>
                <w:rFonts w:eastAsia="方正书宋_GBK"/>
              </w:rPr>
            </w:pPr>
            <w:r>
              <w:rPr>
                <w:rFonts w:eastAsia="方正书宋_GBK"/>
              </w:rPr>
              <w:t>财政拨款</w:t>
            </w:r>
          </w:p>
        </w:tc>
      </w:tr>
    </w:tbl>
    <w:p>
      <w:pPr>
        <w:widowControl/>
        <w:spacing w:line="520" w:lineRule="exact"/>
        <w:ind w:firstLine="643" w:firstLineChars="200"/>
        <w:jc w:val="left"/>
        <w:rPr>
          <w:rFonts w:hint="eastAsia" w:ascii="仿宋_GB2312" w:hAnsi="黑体" w:eastAsia="仿宋_GB2312" w:cs="黑体"/>
          <w:b/>
          <w:bCs w:val="0"/>
          <w:sz w:val="32"/>
          <w:szCs w:val="32"/>
        </w:rPr>
      </w:pPr>
      <w:r>
        <w:rPr>
          <w:rFonts w:hint="eastAsia" w:ascii="仿宋_GB2312" w:hAnsi="黑体" w:eastAsia="仿宋_GB2312" w:cs="黑体"/>
          <w:b/>
          <w:bCs w:val="0"/>
          <w:sz w:val="32"/>
          <w:szCs w:val="32"/>
        </w:rPr>
        <w:t>注：我单位无下属单位</w:t>
      </w:r>
    </w:p>
    <w:p>
      <w:pPr>
        <w:ind w:firstLine="640"/>
        <w:rPr>
          <w:rFonts w:hint="eastAsia" w:ascii="黑体" w:hAnsi="黑体" w:eastAsia="黑体" w:cs="黑体"/>
          <w:sz w:val="32"/>
          <w:szCs w:val="32"/>
        </w:rPr>
      </w:pPr>
      <w:r>
        <w:rPr>
          <w:rFonts w:hint="eastAsia" w:ascii="黑体" w:hAnsi="黑体" w:eastAsia="黑体" w:cs="黑体"/>
          <w:sz w:val="32"/>
          <w:szCs w:val="32"/>
        </w:rPr>
        <w:t>二、部门决算报表（附件）</w:t>
      </w:r>
    </w:p>
    <w:p>
      <w:pPr>
        <w:ind w:firstLine="640"/>
        <w:rPr>
          <w:rFonts w:hint="eastAsia"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lang w:eastAsia="zh-CN"/>
        </w:rPr>
        <w:t>2017</w:t>
      </w:r>
      <w:r>
        <w:rPr>
          <w:rFonts w:hint="eastAsia" w:ascii="黑体" w:hAnsi="黑体" w:eastAsia="黑体"/>
          <w:sz w:val="32"/>
          <w:szCs w:val="32"/>
        </w:rPr>
        <w:t>年</w:t>
      </w:r>
      <w:r>
        <w:rPr>
          <w:rFonts w:hint="eastAsia" w:ascii="黑体" w:hAnsi="黑体" w:eastAsia="黑体"/>
          <w:sz w:val="32"/>
          <w:szCs w:val="32"/>
          <w:lang w:eastAsia="zh-CN"/>
        </w:rPr>
        <w:t>度</w:t>
      </w:r>
      <w:r>
        <w:rPr>
          <w:rFonts w:hint="eastAsia" w:ascii="黑体" w:hAnsi="黑体" w:eastAsia="黑体"/>
          <w:sz w:val="32"/>
          <w:szCs w:val="32"/>
        </w:rPr>
        <w:t>部门决算情况说明</w:t>
      </w:r>
    </w:p>
    <w:p>
      <w:pPr>
        <w:widowControl/>
        <w:spacing w:line="520" w:lineRule="exact"/>
        <w:ind w:firstLine="640" w:firstLineChars="200"/>
        <w:jc w:val="left"/>
        <w:rPr>
          <w:rFonts w:hint="eastAsia" w:ascii="仿宋_GB2312" w:hAnsi="仿宋" w:eastAsia="仿宋_GB2312"/>
          <w:sz w:val="32"/>
          <w:szCs w:val="32"/>
          <w:lang w:eastAsia="zh-CN"/>
        </w:rPr>
      </w:pPr>
      <w:r>
        <w:rPr>
          <w:rFonts w:hint="eastAsia" w:ascii="仿宋_GB2312" w:hAnsi="仿宋" w:eastAsia="仿宋_GB2312"/>
          <w:sz w:val="32"/>
          <w:szCs w:val="32"/>
          <w:lang w:eastAsia="zh-CN"/>
        </w:rPr>
        <w:t>我单位为一级预算单位，无下属单位，无汇总决算。</w:t>
      </w:r>
    </w:p>
    <w:p>
      <w:pPr>
        <w:numPr>
          <w:ilvl w:val="0"/>
          <w:numId w:val="2"/>
        </w:numPr>
        <w:spacing w:line="540" w:lineRule="exact"/>
        <w:ind w:firstLine="630" w:firstLineChars="196"/>
        <w:rPr>
          <w:rFonts w:hint="eastAsia" w:ascii="楷体_GB2312" w:hAnsi="黑体" w:eastAsia="楷体_GB2312" w:cs="黑体"/>
          <w:b/>
          <w:sz w:val="32"/>
          <w:szCs w:val="32"/>
        </w:rPr>
      </w:pPr>
      <w:r>
        <w:rPr>
          <w:rFonts w:hint="eastAsia" w:ascii="楷体_GB2312" w:hAnsi="黑体" w:eastAsia="楷体_GB2312" w:cs="黑体"/>
          <w:b/>
          <w:sz w:val="32"/>
          <w:szCs w:val="32"/>
        </w:rPr>
        <w:t>、收入支出决算总体情况说明。</w:t>
      </w:r>
    </w:p>
    <w:p>
      <w:pPr>
        <w:widowControl/>
        <w:spacing w:line="520" w:lineRule="exact"/>
        <w:ind w:firstLine="640" w:firstLineChars="200"/>
        <w:jc w:val="left"/>
        <w:rPr>
          <w:rFonts w:hint="eastAsia" w:ascii="仿宋_GB2312" w:hAnsi="仿宋" w:eastAsia="仿宋_GB2312"/>
          <w:color w:val="auto"/>
          <w:sz w:val="32"/>
          <w:szCs w:val="32"/>
        </w:rPr>
      </w:pPr>
      <w:r>
        <w:rPr>
          <w:rFonts w:hint="eastAsia" w:ascii="仿宋_GB2312" w:hAnsi="仿宋" w:eastAsia="仿宋_GB2312"/>
          <w:sz w:val="32"/>
          <w:szCs w:val="32"/>
          <w:lang w:eastAsia="zh-CN"/>
        </w:rPr>
        <w:t>2017</w:t>
      </w:r>
      <w:r>
        <w:rPr>
          <w:rFonts w:ascii="仿宋_GB2312" w:hAnsi="仿宋" w:eastAsia="仿宋_GB2312"/>
          <w:sz w:val="32"/>
          <w:szCs w:val="32"/>
        </w:rPr>
        <w:t>年</w:t>
      </w:r>
      <w:r>
        <w:rPr>
          <w:rFonts w:hint="eastAsia" w:ascii="仿宋_GB2312" w:hAnsi="仿宋" w:eastAsia="仿宋_GB2312"/>
          <w:sz w:val="32"/>
          <w:szCs w:val="32"/>
          <w:lang w:eastAsia="zh-CN"/>
        </w:rPr>
        <w:t>度决算</w:t>
      </w:r>
      <w:r>
        <w:rPr>
          <w:rFonts w:hint="eastAsia" w:ascii="仿宋_GB2312" w:hAnsi="仿宋" w:eastAsia="仿宋_GB2312"/>
          <w:sz w:val="32"/>
          <w:szCs w:val="32"/>
        </w:rPr>
        <w:t>收入3055</w:t>
      </w:r>
      <w:r>
        <w:rPr>
          <w:rFonts w:hint="eastAsia" w:ascii="仿宋_GB2312" w:hAnsi="仿宋" w:eastAsia="仿宋_GB2312"/>
          <w:sz w:val="32"/>
          <w:szCs w:val="32"/>
          <w:lang w:val="en-US" w:eastAsia="zh-CN"/>
        </w:rPr>
        <w:t>.</w:t>
      </w:r>
      <w:r>
        <w:rPr>
          <w:rFonts w:hint="eastAsia" w:ascii="仿宋_GB2312" w:hAnsi="仿宋" w:eastAsia="仿宋_GB2312"/>
          <w:sz w:val="32"/>
          <w:szCs w:val="32"/>
        </w:rPr>
        <w:t>0</w:t>
      </w:r>
      <w:r>
        <w:rPr>
          <w:rFonts w:hint="eastAsia" w:ascii="仿宋_GB2312" w:hAnsi="仿宋" w:eastAsia="仿宋_GB2312"/>
          <w:sz w:val="32"/>
          <w:szCs w:val="32"/>
          <w:lang w:val="en-US" w:eastAsia="zh-CN"/>
        </w:rPr>
        <w:t>8</w:t>
      </w:r>
      <w:r>
        <w:rPr>
          <w:rFonts w:ascii="仿宋_GB2312" w:hAnsi="仿宋" w:eastAsia="仿宋_GB2312"/>
          <w:sz w:val="32"/>
          <w:szCs w:val="32"/>
        </w:rPr>
        <w:t>万元，较</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的</w:t>
      </w:r>
      <w:r>
        <w:rPr>
          <w:rFonts w:hint="eastAsia" w:ascii="仿宋_GB2312" w:hAnsi="仿宋" w:eastAsia="仿宋_GB2312"/>
          <w:sz w:val="32"/>
          <w:szCs w:val="32"/>
          <w:lang w:eastAsia="zh-CN"/>
        </w:rPr>
        <w:t>决算收入</w:t>
      </w:r>
      <w:r>
        <w:rPr>
          <w:rFonts w:hint="eastAsia" w:ascii="仿宋_GB2312" w:hAnsi="仿宋" w:eastAsia="仿宋_GB2312"/>
          <w:sz w:val="32"/>
          <w:szCs w:val="32"/>
        </w:rPr>
        <w:t>2092.19万元增加</w:t>
      </w:r>
      <w:r>
        <w:rPr>
          <w:rFonts w:hint="eastAsia" w:ascii="仿宋_GB2312" w:hAnsi="仿宋" w:eastAsia="仿宋_GB2312"/>
          <w:color w:val="auto"/>
          <w:sz w:val="32"/>
          <w:szCs w:val="32"/>
          <w:lang w:val="en-US" w:eastAsia="zh-CN"/>
        </w:rPr>
        <w:t>962.89</w:t>
      </w:r>
      <w:r>
        <w:rPr>
          <w:rFonts w:ascii="仿宋_GB2312" w:hAnsi="仿宋" w:eastAsia="仿宋_GB2312"/>
          <w:sz w:val="32"/>
          <w:szCs w:val="32"/>
        </w:rPr>
        <w:t>万元</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较</w:t>
      </w:r>
      <w:r>
        <w:rPr>
          <w:rFonts w:hint="eastAsia" w:ascii="仿宋_GB2312" w:hAnsi="仿宋" w:eastAsia="仿宋_GB2312"/>
          <w:color w:val="auto"/>
          <w:sz w:val="32"/>
          <w:szCs w:val="32"/>
          <w:lang w:val="en-US" w:eastAsia="zh-CN"/>
        </w:rPr>
        <w:t>2017</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度</w:t>
      </w:r>
      <w:r>
        <w:rPr>
          <w:rFonts w:hint="eastAsia" w:ascii="仿宋_GB2312" w:hAnsi="仿宋" w:eastAsia="仿宋_GB2312"/>
          <w:color w:val="auto"/>
          <w:sz w:val="32"/>
          <w:szCs w:val="32"/>
        </w:rPr>
        <w:t>预算收入</w:t>
      </w:r>
      <w:r>
        <w:rPr>
          <w:rFonts w:hint="eastAsia" w:ascii="仿宋_GB2312" w:hAnsi="仿宋" w:eastAsia="仿宋_GB2312"/>
          <w:color w:val="auto"/>
          <w:sz w:val="32"/>
          <w:szCs w:val="32"/>
          <w:lang w:eastAsia="zh-CN"/>
        </w:rPr>
        <w:t>的</w:t>
      </w:r>
      <w:r>
        <w:rPr>
          <w:rFonts w:hint="eastAsia" w:ascii="仿宋_GB2312" w:hAnsi="仿宋_GB2312" w:eastAsia="仿宋_GB2312" w:cs="仿宋_GB2312"/>
          <w:sz w:val="32"/>
          <w:szCs w:val="32"/>
        </w:rPr>
        <w:t>2625.27</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增加</w:t>
      </w:r>
      <w:r>
        <w:rPr>
          <w:rFonts w:hint="eastAsia" w:ascii="仿宋_GB2312" w:hAnsi="仿宋" w:eastAsia="仿宋_GB2312"/>
          <w:color w:val="auto"/>
          <w:sz w:val="32"/>
          <w:szCs w:val="32"/>
          <w:lang w:val="en-US" w:eastAsia="zh-CN"/>
        </w:rPr>
        <w:t>429.81万元，</w:t>
      </w:r>
      <w:r>
        <w:rPr>
          <w:rFonts w:hint="eastAsia" w:ascii="仿宋_GB2312" w:hAnsi="仿宋" w:eastAsia="仿宋_GB2312"/>
          <w:color w:val="auto"/>
          <w:sz w:val="32"/>
          <w:szCs w:val="32"/>
        </w:rPr>
        <w:t>其中：财政拨款收入3012</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4</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万元，事业收入0万元，经营收入0万元，附属单位上缴收入0万元，其他收入</w:t>
      </w:r>
      <w:r>
        <w:rPr>
          <w:rFonts w:hint="eastAsia" w:ascii="仿宋_GB2312" w:hAnsi="仿宋" w:eastAsia="仿宋_GB2312"/>
          <w:color w:val="auto"/>
          <w:sz w:val="32"/>
          <w:szCs w:val="32"/>
          <w:lang w:val="en-US" w:eastAsia="zh-CN"/>
        </w:rPr>
        <w:t>42.60</w:t>
      </w:r>
      <w:r>
        <w:rPr>
          <w:rFonts w:hint="eastAsia" w:ascii="仿宋_GB2312" w:hAnsi="仿宋" w:eastAsia="仿宋_GB2312"/>
          <w:color w:val="auto"/>
          <w:sz w:val="32"/>
          <w:szCs w:val="32"/>
        </w:rPr>
        <w:t>万元，年初和结余资金</w:t>
      </w:r>
      <w:r>
        <w:rPr>
          <w:rFonts w:hint="eastAsia" w:ascii="仿宋_GB2312" w:hAnsi="仿宋" w:eastAsia="仿宋_GB2312"/>
          <w:color w:val="auto"/>
          <w:sz w:val="32"/>
          <w:szCs w:val="32"/>
          <w:lang w:val="en-US" w:eastAsia="zh-CN"/>
        </w:rPr>
        <w:t>294.74</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2017</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度</w:t>
      </w:r>
      <w:r>
        <w:rPr>
          <w:rFonts w:hint="eastAsia" w:ascii="仿宋_GB2312" w:hAnsi="仿宋" w:eastAsia="仿宋_GB2312"/>
          <w:color w:val="auto"/>
          <w:sz w:val="32"/>
          <w:szCs w:val="32"/>
        </w:rPr>
        <w:t>决算支出</w:t>
      </w:r>
      <w:r>
        <w:rPr>
          <w:rFonts w:hint="eastAsia" w:ascii="仿宋_GB2312" w:hAnsi="仿宋" w:eastAsia="仿宋_GB2312"/>
          <w:color w:val="auto"/>
          <w:sz w:val="32"/>
          <w:szCs w:val="32"/>
          <w:lang w:val="en-US" w:eastAsia="zh-CN"/>
        </w:rPr>
        <w:t>2593.18</w:t>
      </w:r>
      <w:r>
        <w:rPr>
          <w:rFonts w:hint="eastAsia" w:ascii="仿宋_GB2312" w:hAnsi="仿宋" w:eastAsia="仿宋_GB2312"/>
          <w:color w:val="auto"/>
          <w:sz w:val="32"/>
          <w:szCs w:val="32"/>
        </w:rPr>
        <w:t>万元，较</w:t>
      </w:r>
      <w:r>
        <w:rPr>
          <w:rFonts w:hint="eastAsia" w:ascii="仿宋_GB2312" w:hAnsi="仿宋" w:eastAsia="仿宋_GB2312"/>
          <w:color w:val="auto"/>
          <w:sz w:val="32"/>
          <w:szCs w:val="32"/>
          <w:lang w:eastAsia="zh-CN"/>
        </w:rPr>
        <w:t>2016</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度的决算支出</w:t>
      </w:r>
      <w:r>
        <w:rPr>
          <w:rFonts w:hint="eastAsia" w:ascii="仿宋_GB2312" w:hAnsi="仿宋" w:eastAsia="仿宋_GB2312"/>
          <w:color w:val="auto"/>
          <w:sz w:val="32"/>
          <w:szCs w:val="32"/>
        </w:rPr>
        <w:t>1802.85万元增加</w:t>
      </w:r>
      <w:r>
        <w:rPr>
          <w:rFonts w:hint="eastAsia" w:ascii="仿宋_GB2312" w:hAnsi="仿宋" w:eastAsia="仿宋_GB2312"/>
          <w:color w:val="auto"/>
          <w:sz w:val="32"/>
          <w:szCs w:val="32"/>
          <w:lang w:val="en-US" w:eastAsia="zh-CN"/>
        </w:rPr>
        <w:t>790.33</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，较</w:t>
      </w:r>
      <w:r>
        <w:rPr>
          <w:rFonts w:hint="eastAsia" w:ascii="仿宋_GB2312" w:hAnsi="仿宋" w:eastAsia="仿宋_GB2312"/>
          <w:color w:val="auto"/>
          <w:sz w:val="32"/>
          <w:szCs w:val="32"/>
          <w:lang w:val="en-US" w:eastAsia="zh-CN"/>
        </w:rPr>
        <w:t>2017</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度</w:t>
      </w:r>
      <w:r>
        <w:rPr>
          <w:rFonts w:hint="eastAsia" w:ascii="仿宋_GB2312" w:hAnsi="仿宋" w:eastAsia="仿宋_GB2312"/>
          <w:color w:val="auto"/>
          <w:sz w:val="32"/>
          <w:szCs w:val="32"/>
        </w:rPr>
        <w:t>预算支出</w:t>
      </w:r>
      <w:r>
        <w:rPr>
          <w:rFonts w:hint="eastAsia" w:ascii="仿宋_GB2312" w:hAnsi="仿宋" w:eastAsia="仿宋_GB2312"/>
          <w:color w:val="auto"/>
          <w:sz w:val="32"/>
          <w:szCs w:val="32"/>
          <w:lang w:eastAsia="zh-CN"/>
        </w:rPr>
        <w:t>的</w:t>
      </w:r>
      <w:r>
        <w:rPr>
          <w:rFonts w:hint="eastAsia" w:ascii="仿宋_GB2312" w:hAnsi="仿宋_GB2312" w:eastAsia="仿宋_GB2312" w:cs="仿宋_GB2312"/>
          <w:sz w:val="32"/>
          <w:szCs w:val="32"/>
        </w:rPr>
        <w:t>2625.27</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eastAsia="zh-CN"/>
        </w:rPr>
        <w:t>减少</w:t>
      </w:r>
      <w:r>
        <w:rPr>
          <w:rFonts w:hint="eastAsia" w:ascii="仿宋_GB2312" w:hAnsi="仿宋" w:eastAsia="仿宋_GB2312"/>
          <w:color w:val="auto"/>
          <w:sz w:val="32"/>
          <w:szCs w:val="32"/>
          <w:lang w:val="en-US" w:eastAsia="zh-CN"/>
        </w:rPr>
        <w:t>32.09万元，</w:t>
      </w:r>
      <w:r>
        <w:rPr>
          <w:rFonts w:hint="eastAsia" w:ascii="仿宋_GB2312" w:hAnsi="仿宋" w:eastAsia="仿宋_GB2312"/>
          <w:color w:val="auto"/>
          <w:sz w:val="32"/>
          <w:szCs w:val="32"/>
        </w:rPr>
        <w:t>其中：</w:t>
      </w:r>
      <w:r>
        <w:rPr>
          <w:rFonts w:hint="eastAsia" w:ascii="仿宋_GB2312" w:hAnsi="仿宋" w:eastAsia="仿宋_GB2312"/>
          <w:color w:val="auto"/>
          <w:sz w:val="32"/>
          <w:szCs w:val="32"/>
          <w:lang w:eastAsia="zh-CN"/>
        </w:rPr>
        <w:t>教育支出</w:t>
      </w:r>
      <w:r>
        <w:rPr>
          <w:rFonts w:hint="eastAsia" w:ascii="仿宋_GB2312" w:hAnsi="仿宋" w:eastAsia="仿宋_GB2312"/>
          <w:color w:val="auto"/>
          <w:sz w:val="32"/>
          <w:szCs w:val="32"/>
          <w:lang w:val="en-US" w:eastAsia="zh-CN"/>
        </w:rPr>
        <w:t>2.99万元，</w:t>
      </w:r>
      <w:r>
        <w:rPr>
          <w:rFonts w:hint="eastAsia" w:ascii="仿宋_GB2312" w:hAnsi="仿宋" w:eastAsia="仿宋_GB2312"/>
          <w:color w:val="auto"/>
          <w:sz w:val="32"/>
          <w:szCs w:val="32"/>
        </w:rPr>
        <w:t>社会保障和就业支出</w:t>
      </w:r>
      <w:r>
        <w:rPr>
          <w:rFonts w:hint="eastAsia" w:ascii="仿宋_GB2312" w:hAnsi="仿宋" w:eastAsia="仿宋_GB2312"/>
          <w:color w:val="auto"/>
          <w:sz w:val="32"/>
          <w:szCs w:val="32"/>
          <w:lang w:val="en-US" w:eastAsia="zh-CN"/>
        </w:rPr>
        <w:t>135.98</w:t>
      </w:r>
      <w:r>
        <w:rPr>
          <w:rFonts w:hint="eastAsia" w:ascii="仿宋_GB2312" w:hAnsi="仿宋" w:eastAsia="仿宋_GB2312"/>
          <w:color w:val="auto"/>
          <w:sz w:val="32"/>
          <w:szCs w:val="32"/>
        </w:rPr>
        <w:t>万元，医疗卫生与计划生育支出</w:t>
      </w:r>
      <w:r>
        <w:rPr>
          <w:rFonts w:hint="eastAsia" w:ascii="仿宋_GB2312" w:hAnsi="仿宋" w:eastAsia="仿宋_GB2312"/>
          <w:color w:val="auto"/>
          <w:sz w:val="32"/>
          <w:szCs w:val="32"/>
          <w:lang w:val="en-US" w:eastAsia="zh-CN"/>
        </w:rPr>
        <w:t>2357.62</w:t>
      </w:r>
      <w:r>
        <w:rPr>
          <w:rFonts w:hint="eastAsia" w:ascii="仿宋_GB2312" w:hAnsi="仿宋" w:eastAsia="仿宋_GB2312"/>
          <w:color w:val="auto"/>
          <w:sz w:val="32"/>
          <w:szCs w:val="32"/>
        </w:rPr>
        <w:t>万元，住房保障支出</w:t>
      </w:r>
      <w:r>
        <w:rPr>
          <w:rFonts w:hint="eastAsia" w:ascii="仿宋_GB2312" w:hAnsi="仿宋" w:eastAsia="仿宋_GB2312"/>
          <w:color w:val="auto"/>
          <w:sz w:val="32"/>
          <w:szCs w:val="32"/>
          <w:lang w:val="en-US" w:eastAsia="zh-CN"/>
        </w:rPr>
        <w:t>96.59</w:t>
      </w:r>
      <w:r>
        <w:rPr>
          <w:rFonts w:hint="eastAsia" w:ascii="仿宋_GB2312" w:hAnsi="仿宋" w:eastAsia="仿宋_GB2312"/>
          <w:color w:val="auto"/>
          <w:sz w:val="32"/>
          <w:szCs w:val="32"/>
        </w:rPr>
        <w:t>万元。</w:t>
      </w:r>
      <w:r>
        <w:rPr>
          <w:rFonts w:hint="eastAsia" w:ascii="仿宋_GB2312" w:hAnsi="仿宋_GB2312" w:eastAsia="仿宋_GB2312"/>
          <w:color w:val="auto"/>
          <w:sz w:val="32"/>
          <w:szCs w:val="30"/>
        </w:rPr>
        <w:t>主要原因是：</w:t>
      </w:r>
      <w:r>
        <w:rPr>
          <w:rFonts w:hint="eastAsia" w:ascii="仿宋_GB2312" w:hAnsi="仿宋_GB2312" w:eastAsia="仿宋_GB2312"/>
          <w:color w:val="auto"/>
          <w:sz w:val="32"/>
          <w:szCs w:val="30"/>
          <w:lang w:eastAsia="zh-CN"/>
        </w:rPr>
        <w:t>业务规模增加、监管范围扩大、行政执法人员增多，人员经费和日常运转经费相应提高。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黑体" w:eastAsia="楷体_GB2312" w:cs="黑体"/>
          <w:b/>
          <w:color w:val="auto"/>
          <w:sz w:val="32"/>
          <w:szCs w:val="32"/>
        </w:rPr>
      </w:pPr>
      <w:r>
        <w:rPr>
          <w:rFonts w:hint="eastAsia" w:ascii="楷体_GB2312" w:hAnsi="黑体" w:eastAsia="楷体_GB2312" w:cs="黑体"/>
          <w:b/>
          <w:color w:val="auto"/>
          <w:sz w:val="32"/>
          <w:szCs w:val="32"/>
        </w:rPr>
        <w:t>（二）收入决算情况说明。</w:t>
      </w:r>
    </w:p>
    <w:p>
      <w:pPr>
        <w:spacing w:line="540" w:lineRule="exact"/>
        <w:ind w:firstLine="627" w:firstLineChars="196"/>
        <w:rPr>
          <w:rFonts w:ascii="仿宋_GB2312" w:hAnsi="仿宋" w:eastAsia="仿宋_GB2312"/>
          <w:sz w:val="32"/>
          <w:szCs w:val="32"/>
        </w:rPr>
      </w:pP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部门决算收入3055</w:t>
      </w:r>
      <w:r>
        <w:rPr>
          <w:rFonts w:hint="eastAsia" w:ascii="仿宋_GB2312" w:hAnsi="仿宋" w:eastAsia="仿宋_GB2312"/>
          <w:sz w:val="32"/>
          <w:szCs w:val="32"/>
          <w:lang w:val="en-US" w:eastAsia="zh-CN"/>
        </w:rPr>
        <w:t>.</w:t>
      </w:r>
      <w:r>
        <w:rPr>
          <w:rFonts w:hint="eastAsia" w:ascii="仿宋_GB2312" w:hAnsi="仿宋" w:eastAsia="仿宋_GB2312"/>
          <w:sz w:val="32"/>
          <w:szCs w:val="32"/>
        </w:rPr>
        <w:t>0</w:t>
      </w:r>
      <w:r>
        <w:rPr>
          <w:rFonts w:hint="eastAsia" w:ascii="仿宋_GB2312" w:hAnsi="仿宋" w:eastAsia="仿宋_GB2312"/>
          <w:sz w:val="32"/>
          <w:szCs w:val="32"/>
          <w:lang w:val="en-US" w:eastAsia="zh-CN"/>
        </w:rPr>
        <w:t>8</w:t>
      </w:r>
      <w:r>
        <w:rPr>
          <w:rFonts w:hint="eastAsia" w:ascii="仿宋_GB2312" w:hAnsi="仿宋" w:eastAsia="仿宋_GB2312"/>
          <w:sz w:val="32"/>
          <w:szCs w:val="32"/>
        </w:rPr>
        <w:t>万元，其中：财政拨款收入</w:t>
      </w:r>
      <w:r>
        <w:rPr>
          <w:rFonts w:hint="eastAsia" w:ascii="仿宋_GB2312" w:hAnsi="仿宋" w:eastAsia="仿宋_GB2312"/>
          <w:color w:val="auto"/>
          <w:sz w:val="32"/>
          <w:szCs w:val="32"/>
        </w:rPr>
        <w:t>3012</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4</w:t>
      </w:r>
      <w:r>
        <w:rPr>
          <w:rFonts w:hint="eastAsia" w:ascii="仿宋_GB2312" w:hAnsi="仿宋" w:eastAsia="仿宋_GB2312"/>
          <w:color w:val="auto"/>
          <w:sz w:val="32"/>
          <w:szCs w:val="32"/>
          <w:lang w:val="en-US" w:eastAsia="zh-CN"/>
        </w:rPr>
        <w:t>8</w:t>
      </w:r>
      <w:r>
        <w:rPr>
          <w:rFonts w:hint="eastAsia" w:ascii="仿宋_GB2312" w:hAnsi="仿宋" w:eastAsia="仿宋_GB2312"/>
          <w:sz w:val="32"/>
          <w:szCs w:val="32"/>
        </w:rPr>
        <w:t>万元，事业收入0万元，其他收入</w:t>
      </w:r>
      <w:r>
        <w:rPr>
          <w:rFonts w:hint="eastAsia" w:ascii="仿宋_GB2312" w:hAnsi="仿宋" w:eastAsia="仿宋_GB2312"/>
          <w:sz w:val="32"/>
          <w:szCs w:val="32"/>
          <w:lang w:val="en-US" w:eastAsia="zh-CN"/>
        </w:rPr>
        <w:t>42.60</w:t>
      </w:r>
      <w:r>
        <w:rPr>
          <w:rFonts w:hint="eastAsia" w:ascii="仿宋_GB2312" w:hAnsi="仿宋" w:eastAsia="仿宋_GB2312"/>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楷体_GB2312" w:hAnsi="黑体" w:eastAsia="楷体_GB2312" w:cs="黑体"/>
          <w:b/>
          <w:sz w:val="32"/>
          <w:szCs w:val="32"/>
        </w:rPr>
      </w:pPr>
      <w:r>
        <w:rPr>
          <w:rFonts w:hint="eastAsia" w:ascii="楷体_GB2312" w:hAnsi="黑体" w:eastAsia="楷体_GB2312" w:cs="黑体"/>
          <w:b/>
          <w:sz w:val="32"/>
          <w:szCs w:val="32"/>
        </w:rPr>
        <w:t>（三）支出决算情况说明</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2017</w:t>
      </w:r>
      <w:r>
        <w:rPr>
          <w:rFonts w:ascii="仿宋_GB2312" w:hAnsi="仿宋" w:eastAsia="仿宋_GB2312"/>
          <w:sz w:val="32"/>
          <w:szCs w:val="32"/>
        </w:rPr>
        <w:t>年</w:t>
      </w:r>
      <w:r>
        <w:rPr>
          <w:rFonts w:hint="eastAsia" w:ascii="仿宋_GB2312" w:hAnsi="仿宋" w:eastAsia="仿宋_GB2312"/>
          <w:sz w:val="32"/>
          <w:szCs w:val="32"/>
          <w:lang w:eastAsia="zh-CN"/>
        </w:rPr>
        <w:t>度</w:t>
      </w:r>
      <w:r>
        <w:rPr>
          <w:rFonts w:ascii="仿宋_GB2312" w:hAnsi="仿宋" w:eastAsia="仿宋_GB2312"/>
          <w:sz w:val="32"/>
          <w:szCs w:val="32"/>
        </w:rPr>
        <w:t>部门</w:t>
      </w:r>
      <w:r>
        <w:rPr>
          <w:rFonts w:hint="eastAsia" w:ascii="仿宋_GB2312" w:hAnsi="仿宋" w:eastAsia="仿宋_GB2312"/>
          <w:sz w:val="32"/>
          <w:szCs w:val="32"/>
        </w:rPr>
        <w:t>决</w:t>
      </w:r>
      <w:r>
        <w:rPr>
          <w:rFonts w:ascii="仿宋_GB2312" w:hAnsi="仿宋" w:eastAsia="仿宋_GB2312"/>
          <w:sz w:val="32"/>
          <w:szCs w:val="32"/>
        </w:rPr>
        <w:t>算支出为</w:t>
      </w:r>
      <w:r>
        <w:rPr>
          <w:rFonts w:hint="eastAsia" w:ascii="仿宋_GB2312" w:hAnsi="仿宋" w:eastAsia="仿宋_GB2312"/>
          <w:color w:val="auto"/>
          <w:sz w:val="32"/>
          <w:szCs w:val="32"/>
          <w:lang w:val="en-US" w:eastAsia="zh-CN"/>
        </w:rPr>
        <w:t>2593.18</w:t>
      </w:r>
      <w:r>
        <w:rPr>
          <w:rFonts w:ascii="仿宋_GB2312" w:hAnsi="仿宋" w:eastAsia="仿宋_GB2312"/>
          <w:sz w:val="32"/>
          <w:szCs w:val="32"/>
        </w:rPr>
        <w:t>万元，其中：基本支出</w:t>
      </w:r>
      <w:r>
        <w:rPr>
          <w:rFonts w:hint="eastAsia" w:ascii="仿宋_GB2312" w:hAnsi="仿宋" w:eastAsia="仿宋_GB2312"/>
          <w:sz w:val="32"/>
          <w:szCs w:val="32"/>
          <w:lang w:val="en-US" w:eastAsia="zh-CN"/>
        </w:rPr>
        <w:t>1660.58</w:t>
      </w:r>
      <w:r>
        <w:rPr>
          <w:rFonts w:ascii="仿宋_GB2312" w:hAnsi="仿宋" w:eastAsia="仿宋_GB2312"/>
          <w:sz w:val="32"/>
          <w:szCs w:val="32"/>
        </w:rPr>
        <w:t>万元，包含人员经</w:t>
      </w:r>
      <w:r>
        <w:rPr>
          <w:rFonts w:hint="eastAsia" w:ascii="仿宋_GB2312" w:hAnsi="仿宋" w:eastAsia="仿宋_GB2312"/>
          <w:sz w:val="32"/>
          <w:szCs w:val="32"/>
        </w:rPr>
        <w:t>费支出</w:t>
      </w:r>
      <w:r>
        <w:rPr>
          <w:rFonts w:hint="eastAsia" w:ascii="仿宋_GB2312" w:hAnsi="仿宋" w:eastAsia="仿宋_GB2312"/>
          <w:sz w:val="32"/>
          <w:szCs w:val="32"/>
          <w:lang w:val="en-US" w:eastAsia="zh-CN"/>
        </w:rPr>
        <w:t>1465.55</w:t>
      </w:r>
      <w:r>
        <w:rPr>
          <w:rFonts w:hint="eastAsia" w:ascii="仿宋_GB2312" w:hAnsi="仿宋" w:eastAsia="仿宋_GB2312"/>
          <w:sz w:val="32"/>
          <w:szCs w:val="32"/>
        </w:rPr>
        <w:t>万元</w:t>
      </w:r>
      <w:r>
        <w:rPr>
          <w:rFonts w:ascii="仿宋_GB2312" w:hAnsi="仿宋" w:eastAsia="仿宋_GB2312"/>
          <w:sz w:val="32"/>
          <w:szCs w:val="32"/>
        </w:rPr>
        <w:t>和日常公用经</w:t>
      </w:r>
      <w:r>
        <w:rPr>
          <w:rFonts w:hint="eastAsia" w:ascii="仿宋_GB2312" w:hAnsi="仿宋" w:eastAsia="仿宋_GB2312"/>
          <w:sz w:val="32"/>
          <w:szCs w:val="32"/>
        </w:rPr>
        <w:t>费支出</w:t>
      </w:r>
      <w:r>
        <w:rPr>
          <w:rFonts w:hint="eastAsia" w:ascii="仿宋_GB2312" w:hAnsi="仿宋" w:eastAsia="仿宋_GB2312"/>
          <w:sz w:val="32"/>
          <w:szCs w:val="32"/>
          <w:lang w:val="en-US" w:eastAsia="zh-CN"/>
        </w:rPr>
        <w:t>195.03</w:t>
      </w:r>
      <w:r>
        <w:rPr>
          <w:rFonts w:hint="eastAsia" w:ascii="仿宋_GB2312" w:hAnsi="仿宋" w:eastAsia="仿宋_GB2312"/>
          <w:sz w:val="32"/>
          <w:szCs w:val="32"/>
        </w:rPr>
        <w:t>万元</w:t>
      </w:r>
      <w:r>
        <w:rPr>
          <w:rFonts w:ascii="仿宋_GB2312" w:hAnsi="仿宋" w:eastAsia="仿宋_GB2312"/>
          <w:sz w:val="32"/>
          <w:szCs w:val="32"/>
        </w:rPr>
        <w:t>；项目支出</w:t>
      </w:r>
      <w:r>
        <w:rPr>
          <w:rFonts w:hint="eastAsia" w:ascii="仿宋_GB2312" w:hAnsi="仿宋" w:eastAsia="仿宋_GB2312"/>
          <w:sz w:val="32"/>
          <w:szCs w:val="32"/>
        </w:rPr>
        <w:t>9</w:t>
      </w:r>
      <w:r>
        <w:rPr>
          <w:rFonts w:hint="eastAsia" w:ascii="仿宋_GB2312" w:hAnsi="仿宋" w:eastAsia="仿宋_GB2312"/>
          <w:sz w:val="32"/>
          <w:szCs w:val="32"/>
          <w:lang w:val="en-US" w:eastAsia="zh-CN"/>
        </w:rPr>
        <w:t>32.60</w:t>
      </w:r>
      <w:r>
        <w:rPr>
          <w:rFonts w:ascii="仿宋_GB2312" w:hAnsi="仿宋" w:eastAsia="仿宋_GB2312"/>
          <w:sz w:val="32"/>
          <w:szCs w:val="32"/>
        </w:rPr>
        <w:t>万元。</w:t>
      </w:r>
    </w:p>
    <w:p>
      <w:pPr>
        <w:widowControl/>
        <w:spacing w:line="520" w:lineRule="exact"/>
        <w:ind w:firstLine="643" w:firstLineChars="200"/>
        <w:jc w:val="left"/>
        <w:rPr>
          <w:rFonts w:hint="eastAsia" w:ascii="楷体_GB2312" w:hAnsi="黑体" w:eastAsia="楷体_GB2312" w:cs="黑体"/>
          <w:b/>
          <w:sz w:val="32"/>
          <w:szCs w:val="32"/>
        </w:rPr>
      </w:pPr>
      <w:r>
        <w:rPr>
          <w:rFonts w:hint="eastAsia" w:ascii="楷体_GB2312" w:hAnsi="黑体" w:eastAsia="楷体_GB2312" w:cs="黑体"/>
          <w:b/>
          <w:sz w:val="32"/>
          <w:szCs w:val="32"/>
        </w:rPr>
        <w:t>（四）财政拨款收入支出决算总体情况说明。</w:t>
      </w:r>
    </w:p>
    <w:p>
      <w:pPr>
        <w:widowControl/>
        <w:spacing w:line="52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 w:eastAsia="仿宋_GB2312"/>
          <w:sz w:val="32"/>
          <w:szCs w:val="32"/>
          <w:lang w:eastAsia="zh-CN"/>
        </w:rPr>
        <w:t>2017</w:t>
      </w:r>
      <w:r>
        <w:rPr>
          <w:rFonts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财政拨款收入决算总计30</w:t>
      </w:r>
      <w:r>
        <w:rPr>
          <w:rFonts w:hint="eastAsia" w:ascii="仿宋_GB2312" w:hAnsi="仿宋" w:eastAsia="仿宋_GB2312"/>
          <w:sz w:val="32"/>
          <w:szCs w:val="32"/>
          <w:lang w:val="en-US" w:eastAsia="zh-CN"/>
        </w:rPr>
        <w:t>12.48</w:t>
      </w:r>
      <w:r>
        <w:rPr>
          <w:rFonts w:hint="eastAsia" w:ascii="仿宋_GB2312" w:hAnsi="仿宋" w:eastAsia="仿宋_GB2312"/>
          <w:sz w:val="32"/>
          <w:szCs w:val="32"/>
        </w:rPr>
        <w:t>万元，</w:t>
      </w:r>
      <w:r>
        <w:rPr>
          <w:rFonts w:ascii="仿宋_GB2312" w:hAnsi="仿宋" w:eastAsia="仿宋_GB2312"/>
          <w:sz w:val="32"/>
          <w:szCs w:val="32"/>
        </w:rPr>
        <w:t>较</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的20</w:t>
      </w:r>
      <w:r>
        <w:rPr>
          <w:rFonts w:hint="eastAsia" w:ascii="仿宋_GB2312" w:hAnsi="仿宋" w:eastAsia="仿宋_GB2312"/>
          <w:sz w:val="32"/>
          <w:szCs w:val="32"/>
          <w:lang w:val="en-US" w:eastAsia="zh-CN"/>
        </w:rPr>
        <w:t>89.95</w:t>
      </w:r>
      <w:r>
        <w:rPr>
          <w:rFonts w:hint="eastAsia" w:ascii="仿宋_GB2312" w:hAnsi="仿宋" w:eastAsia="仿宋_GB2312"/>
          <w:sz w:val="32"/>
          <w:szCs w:val="32"/>
        </w:rPr>
        <w:t>万元增加</w:t>
      </w:r>
      <w:r>
        <w:rPr>
          <w:rFonts w:hint="eastAsia" w:ascii="仿宋_GB2312" w:hAnsi="仿宋" w:eastAsia="仿宋_GB2312"/>
          <w:sz w:val="32"/>
          <w:szCs w:val="32"/>
          <w:lang w:val="en-US" w:eastAsia="zh-CN"/>
        </w:rPr>
        <w:t>922.53</w:t>
      </w:r>
      <w:r>
        <w:rPr>
          <w:rFonts w:ascii="仿宋_GB2312" w:hAnsi="仿宋" w:eastAsia="仿宋_GB2312"/>
          <w:sz w:val="32"/>
          <w:szCs w:val="32"/>
        </w:rPr>
        <w:t>万元</w:t>
      </w:r>
      <w:r>
        <w:rPr>
          <w:rFonts w:hint="eastAsia" w:ascii="仿宋_GB2312" w:hAnsi="仿宋" w:eastAsia="仿宋_GB2312"/>
          <w:sz w:val="32"/>
          <w:szCs w:val="32"/>
        </w:rPr>
        <w:t>，其中一般公共预算拨款</w:t>
      </w:r>
      <w:r>
        <w:rPr>
          <w:rFonts w:hint="eastAsia" w:ascii="仿宋_GB2312" w:hAnsi="仿宋" w:eastAsia="仿宋_GB2312"/>
          <w:sz w:val="32"/>
          <w:szCs w:val="32"/>
          <w:lang w:val="en-US" w:eastAsia="zh-CN"/>
        </w:rPr>
        <w:t>3012.48</w:t>
      </w:r>
      <w:r>
        <w:rPr>
          <w:rFonts w:hint="eastAsia" w:ascii="仿宋_GB2312" w:hAnsi="仿宋" w:eastAsia="仿宋_GB2312"/>
          <w:sz w:val="32"/>
          <w:szCs w:val="32"/>
        </w:rPr>
        <w:t>万元，政府性基金预算财政拨款0万元。</w:t>
      </w: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财政拨款支出决算总计</w:t>
      </w:r>
      <w:r>
        <w:rPr>
          <w:rFonts w:hint="eastAsia" w:ascii="仿宋_GB2312" w:hAnsi="仿宋" w:eastAsia="仿宋_GB2312"/>
          <w:sz w:val="32"/>
          <w:szCs w:val="32"/>
          <w:lang w:val="en-US" w:eastAsia="zh-CN"/>
        </w:rPr>
        <w:t>2550.58</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rPr>
        <w:t>较</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的1802.85万元增加</w:t>
      </w:r>
      <w:r>
        <w:rPr>
          <w:rFonts w:hint="eastAsia" w:ascii="仿宋_GB2312" w:hAnsi="仿宋" w:eastAsia="仿宋_GB2312"/>
          <w:sz w:val="32"/>
          <w:szCs w:val="32"/>
          <w:lang w:val="en-US" w:eastAsia="zh-CN"/>
        </w:rPr>
        <w:t>747.73</w:t>
      </w:r>
      <w:r>
        <w:rPr>
          <w:rFonts w:hint="eastAsia" w:ascii="仿宋_GB2312" w:hAnsi="仿宋" w:eastAsia="仿宋_GB2312"/>
          <w:sz w:val="32"/>
          <w:szCs w:val="32"/>
        </w:rPr>
        <w:t>万元，其中基本支出</w:t>
      </w:r>
      <w:r>
        <w:rPr>
          <w:rFonts w:hint="eastAsia" w:ascii="仿宋_GB2312" w:hAnsi="仿宋" w:eastAsia="仿宋_GB2312"/>
          <w:color w:val="auto"/>
          <w:sz w:val="32"/>
          <w:szCs w:val="32"/>
          <w:lang w:val="en-US" w:eastAsia="zh-CN"/>
        </w:rPr>
        <w:t>1660.58万元</w:t>
      </w:r>
      <w:r>
        <w:rPr>
          <w:rFonts w:hint="eastAsia" w:ascii="仿宋_GB2312" w:hAnsi="仿宋" w:eastAsia="仿宋_GB2312"/>
          <w:sz w:val="32"/>
          <w:szCs w:val="32"/>
        </w:rPr>
        <w:t>比</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的</w:t>
      </w:r>
      <w:r>
        <w:rPr>
          <w:rFonts w:hint="eastAsia" w:ascii="仿宋_GB2312" w:hAnsi="仿宋" w:eastAsia="仿宋_GB2312"/>
          <w:sz w:val="32"/>
          <w:szCs w:val="32"/>
          <w:lang w:val="en-US" w:eastAsia="zh-CN"/>
        </w:rPr>
        <w:t>822.54</w:t>
      </w:r>
      <w:r>
        <w:rPr>
          <w:rFonts w:hint="eastAsia" w:ascii="仿宋_GB2312" w:hAnsi="仿宋" w:eastAsia="仿宋_GB2312"/>
          <w:sz w:val="32"/>
          <w:szCs w:val="32"/>
        </w:rPr>
        <w:t>万元</w:t>
      </w:r>
      <w:r>
        <w:rPr>
          <w:rFonts w:ascii="仿宋_GB2312" w:hAnsi="仿宋" w:eastAsia="仿宋_GB2312"/>
          <w:sz w:val="32"/>
          <w:szCs w:val="32"/>
        </w:rPr>
        <w:t>增加</w:t>
      </w:r>
      <w:r>
        <w:rPr>
          <w:rFonts w:hint="eastAsia" w:ascii="仿宋_GB2312" w:hAnsi="仿宋" w:eastAsia="仿宋_GB2312"/>
          <w:sz w:val="32"/>
          <w:szCs w:val="32"/>
          <w:lang w:val="en-US" w:eastAsia="zh-CN"/>
        </w:rPr>
        <w:t>838.04</w:t>
      </w:r>
      <w:r>
        <w:rPr>
          <w:rFonts w:hint="eastAsia" w:ascii="仿宋_GB2312" w:hAnsi="仿宋" w:eastAsia="仿宋_GB2312"/>
          <w:sz w:val="32"/>
          <w:szCs w:val="32"/>
        </w:rPr>
        <w:t>万元，项目支出</w:t>
      </w:r>
      <w:r>
        <w:rPr>
          <w:rFonts w:hint="eastAsia" w:ascii="仿宋_GB2312" w:hAnsi="仿宋" w:eastAsia="仿宋_GB2312"/>
          <w:color w:val="auto"/>
          <w:sz w:val="32"/>
          <w:szCs w:val="32"/>
          <w:lang w:val="en-US" w:eastAsia="zh-CN"/>
        </w:rPr>
        <w:t>890.00万元</w:t>
      </w:r>
      <w:r>
        <w:rPr>
          <w:rFonts w:hint="eastAsia" w:ascii="仿宋_GB2312" w:hAnsi="仿宋" w:eastAsia="仿宋_GB2312"/>
          <w:sz w:val="32"/>
          <w:szCs w:val="32"/>
        </w:rPr>
        <w:t>比</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的</w:t>
      </w:r>
      <w:r>
        <w:rPr>
          <w:rFonts w:hint="eastAsia" w:ascii="仿宋_GB2312" w:hAnsi="仿宋" w:eastAsia="仿宋_GB2312"/>
          <w:sz w:val="32"/>
          <w:szCs w:val="32"/>
          <w:lang w:val="en-US" w:eastAsia="zh-CN"/>
        </w:rPr>
        <w:t>980.31</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90.31</w:t>
      </w:r>
      <w:r>
        <w:rPr>
          <w:rFonts w:hint="eastAsia" w:ascii="仿宋_GB2312" w:hAnsi="仿宋" w:eastAsia="仿宋_GB2312"/>
          <w:sz w:val="32"/>
          <w:szCs w:val="32"/>
        </w:rPr>
        <w:t>万元。</w:t>
      </w:r>
    </w:p>
    <w:p>
      <w:pPr>
        <w:widowControl/>
        <w:spacing w:line="520" w:lineRule="exact"/>
        <w:ind w:firstLine="643" w:firstLineChars="200"/>
        <w:jc w:val="left"/>
        <w:rPr>
          <w:rFonts w:hint="eastAsia" w:ascii="楷体_GB2312" w:hAnsi="黑体" w:eastAsia="楷体_GB2312" w:cs="黑体"/>
          <w:b/>
          <w:sz w:val="32"/>
          <w:szCs w:val="32"/>
        </w:rPr>
      </w:pPr>
      <w:r>
        <w:rPr>
          <w:rFonts w:hint="eastAsia" w:ascii="楷体_GB2312" w:hAnsi="黑体" w:eastAsia="楷体_GB2312" w:cs="黑体"/>
          <w:b/>
          <w:sz w:val="32"/>
          <w:szCs w:val="32"/>
        </w:rPr>
        <w:t>（五）财政拨款“三公”经费预算情况及增减变化原因</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我部门“三公”经费安排</w:t>
      </w:r>
      <w:r>
        <w:rPr>
          <w:rFonts w:hint="eastAsia" w:ascii="仿宋_GB2312" w:hAnsi="仿宋" w:eastAsia="仿宋_GB2312"/>
          <w:sz w:val="32"/>
          <w:szCs w:val="32"/>
          <w:lang w:val="en-US" w:eastAsia="zh-CN"/>
        </w:rPr>
        <w:t>26.92</w:t>
      </w:r>
      <w:r>
        <w:rPr>
          <w:rFonts w:hint="eastAsia" w:ascii="仿宋_GB2312" w:hAnsi="仿宋" w:eastAsia="仿宋_GB2312"/>
          <w:sz w:val="32"/>
          <w:szCs w:val="32"/>
        </w:rPr>
        <w:t>万元，比年初预算数</w:t>
      </w:r>
      <w:r>
        <w:rPr>
          <w:rFonts w:hint="eastAsia" w:ascii="仿宋_GB2312" w:hAnsi="仿宋" w:eastAsia="仿宋_GB2312"/>
          <w:sz w:val="32"/>
          <w:szCs w:val="32"/>
          <w:lang w:val="en-US" w:eastAsia="zh-CN"/>
        </w:rPr>
        <w:t>41.65万元</w:t>
      </w:r>
      <w:r>
        <w:rPr>
          <w:rFonts w:hint="eastAsia" w:ascii="仿宋_GB2312" w:hAnsi="仿宋" w:eastAsia="仿宋_GB2312"/>
          <w:sz w:val="32"/>
          <w:szCs w:val="32"/>
        </w:rPr>
        <w:t>减少</w:t>
      </w:r>
      <w:r>
        <w:rPr>
          <w:rFonts w:hint="eastAsia" w:ascii="仿宋_GB2312" w:hAnsi="仿宋" w:eastAsia="仿宋_GB2312"/>
          <w:sz w:val="32"/>
          <w:szCs w:val="32"/>
          <w:lang w:val="en-US" w:eastAsia="zh-CN"/>
        </w:rPr>
        <w:t>14.73</w:t>
      </w:r>
      <w:r>
        <w:rPr>
          <w:rFonts w:hint="eastAsia" w:ascii="仿宋_GB2312" w:hAnsi="仿宋" w:eastAsia="仿宋_GB2312"/>
          <w:sz w:val="32"/>
          <w:szCs w:val="32"/>
        </w:rPr>
        <w:t>万元；比</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“三公”经费</w:t>
      </w:r>
      <w:r>
        <w:rPr>
          <w:rFonts w:hint="eastAsia" w:ascii="仿宋_GB2312" w:hAnsi="仿宋" w:eastAsia="仿宋_GB2312"/>
          <w:sz w:val="32"/>
          <w:szCs w:val="32"/>
          <w:lang w:val="en-US" w:eastAsia="zh-CN"/>
        </w:rPr>
        <w:t>1.6</w:t>
      </w:r>
      <w:r>
        <w:rPr>
          <w:rFonts w:hint="eastAsia" w:ascii="仿宋_GB2312" w:hAnsi="仿宋" w:eastAsia="仿宋_GB2312"/>
          <w:sz w:val="32"/>
          <w:szCs w:val="32"/>
        </w:rPr>
        <w:t>万元</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25.31</w:t>
      </w:r>
      <w:r>
        <w:rPr>
          <w:rFonts w:hint="eastAsia" w:ascii="仿宋_GB2312" w:hAnsi="仿宋" w:eastAsia="仿宋_GB2312"/>
          <w:sz w:val="32"/>
          <w:szCs w:val="32"/>
        </w:rPr>
        <w:t>万元。其中：因公出国（境）费</w:t>
      </w:r>
      <w:r>
        <w:rPr>
          <w:rFonts w:hint="eastAsia" w:ascii="仿宋_GB2312" w:hAnsi="仿宋" w:eastAsia="仿宋_GB2312"/>
          <w:sz w:val="32"/>
          <w:szCs w:val="32"/>
          <w:lang w:val="en-US" w:eastAsia="zh-CN"/>
        </w:rPr>
        <w:t>0万元，团组0次，人次0次</w:t>
      </w:r>
      <w:r>
        <w:rPr>
          <w:rFonts w:hint="eastAsia" w:ascii="仿宋_GB2312" w:hAnsi="仿宋" w:eastAsia="仿宋_GB2312"/>
          <w:sz w:val="32"/>
          <w:szCs w:val="32"/>
        </w:rPr>
        <w:t>，与</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相比，无增减变动；公务用车购置及运行维护费</w:t>
      </w: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决算</w:t>
      </w:r>
      <w:r>
        <w:rPr>
          <w:rFonts w:hint="eastAsia" w:ascii="仿宋_GB2312" w:hAnsi="仿宋" w:eastAsia="仿宋_GB2312"/>
          <w:sz w:val="32"/>
          <w:szCs w:val="32"/>
          <w:lang w:val="en-US" w:eastAsia="zh-CN"/>
        </w:rPr>
        <w:t>26.81</w:t>
      </w:r>
      <w:r>
        <w:rPr>
          <w:rFonts w:hint="eastAsia" w:ascii="仿宋_GB2312" w:hAnsi="仿宋" w:eastAsia="仿宋_GB2312"/>
          <w:sz w:val="32"/>
          <w:szCs w:val="32"/>
        </w:rPr>
        <w:t>万元（公务用车购置数量</w:t>
      </w:r>
      <w:r>
        <w:rPr>
          <w:rFonts w:hint="eastAsia" w:ascii="仿宋_GB2312" w:hAnsi="仿宋" w:eastAsia="仿宋_GB2312"/>
          <w:sz w:val="32"/>
          <w:szCs w:val="32"/>
          <w:lang w:val="en-US" w:eastAsia="zh-CN"/>
        </w:rPr>
        <w:t>1</w:t>
      </w:r>
      <w:r>
        <w:rPr>
          <w:rFonts w:hint="eastAsia" w:ascii="仿宋_GB2312" w:hAnsi="仿宋" w:eastAsia="仿宋_GB2312"/>
          <w:sz w:val="32"/>
          <w:szCs w:val="32"/>
        </w:rPr>
        <w:t>辆，购置金额</w:t>
      </w:r>
      <w:r>
        <w:rPr>
          <w:rFonts w:hint="eastAsia" w:ascii="仿宋_GB2312" w:hAnsi="仿宋" w:eastAsia="仿宋_GB2312"/>
          <w:sz w:val="32"/>
          <w:szCs w:val="32"/>
          <w:lang w:val="en-US" w:eastAsia="zh-CN"/>
        </w:rPr>
        <w:t>10.53</w:t>
      </w:r>
      <w:r>
        <w:rPr>
          <w:rFonts w:hint="eastAsia" w:ascii="仿宋_GB2312" w:hAnsi="仿宋" w:eastAsia="仿宋_GB2312"/>
          <w:sz w:val="32"/>
          <w:szCs w:val="32"/>
        </w:rPr>
        <w:t>万元，公车运行维护费</w:t>
      </w:r>
      <w:r>
        <w:rPr>
          <w:rFonts w:hint="eastAsia" w:ascii="仿宋_GB2312" w:hAnsi="仿宋" w:eastAsia="仿宋_GB2312"/>
          <w:sz w:val="32"/>
          <w:szCs w:val="32"/>
          <w:lang w:val="en-US" w:eastAsia="zh-CN"/>
        </w:rPr>
        <w:t>16.28</w:t>
      </w:r>
      <w:r>
        <w:rPr>
          <w:rFonts w:hint="eastAsia" w:ascii="仿宋_GB2312" w:hAnsi="仿宋" w:eastAsia="仿宋_GB2312"/>
          <w:sz w:val="32"/>
          <w:szCs w:val="32"/>
        </w:rPr>
        <w:t>万元，年末公务用车保有量2辆），比</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的</w:t>
      </w:r>
      <w:r>
        <w:rPr>
          <w:rFonts w:hint="eastAsia" w:ascii="仿宋_GB2312" w:hAnsi="仿宋" w:eastAsia="仿宋_GB2312"/>
          <w:sz w:val="32"/>
          <w:szCs w:val="32"/>
          <w:lang w:val="en-US" w:eastAsia="zh-CN"/>
        </w:rPr>
        <w:t>1.6</w:t>
      </w:r>
      <w:r>
        <w:rPr>
          <w:rFonts w:hint="eastAsia" w:ascii="仿宋_GB2312" w:hAnsi="仿宋" w:eastAsia="仿宋_GB2312"/>
          <w:sz w:val="32"/>
          <w:szCs w:val="32"/>
        </w:rPr>
        <w:t>万元</w:t>
      </w:r>
      <w:r>
        <w:rPr>
          <w:rFonts w:hint="eastAsia" w:ascii="仿宋_GB2312" w:hAnsi="仿宋" w:eastAsia="仿宋_GB2312"/>
          <w:color w:val="auto"/>
          <w:sz w:val="32"/>
          <w:szCs w:val="32"/>
          <w:lang w:eastAsia="zh-CN"/>
        </w:rPr>
        <w:t>增加</w:t>
      </w:r>
      <w:r>
        <w:rPr>
          <w:rFonts w:hint="eastAsia" w:ascii="仿宋_GB2312" w:hAnsi="仿宋" w:eastAsia="仿宋_GB2312"/>
          <w:color w:val="auto"/>
          <w:sz w:val="32"/>
          <w:szCs w:val="32"/>
          <w:lang w:val="en-US" w:eastAsia="zh-CN"/>
        </w:rPr>
        <w:t>25.21</w:t>
      </w:r>
      <w:r>
        <w:rPr>
          <w:rFonts w:hint="eastAsia" w:ascii="仿宋_GB2312" w:hAnsi="仿宋" w:eastAsia="仿宋_GB2312"/>
          <w:sz w:val="32"/>
          <w:szCs w:val="32"/>
        </w:rPr>
        <w:t>万元，原因是</w:t>
      </w:r>
      <w:r>
        <w:rPr>
          <w:rFonts w:hint="eastAsia" w:ascii="仿宋_GB2312" w:hAnsi="仿宋" w:eastAsia="仿宋_GB2312"/>
          <w:color w:val="auto"/>
          <w:sz w:val="32"/>
          <w:szCs w:val="32"/>
          <w:lang w:eastAsia="zh-CN"/>
        </w:rPr>
        <w:t>新购置公务用车及其产生的运行费用</w:t>
      </w:r>
      <w:r>
        <w:rPr>
          <w:rFonts w:hint="eastAsia" w:ascii="仿宋_GB2312" w:hAnsi="仿宋" w:eastAsia="仿宋_GB2312"/>
          <w:color w:val="auto"/>
          <w:sz w:val="32"/>
          <w:szCs w:val="32"/>
        </w:rPr>
        <w:t>；</w:t>
      </w:r>
      <w:r>
        <w:rPr>
          <w:rFonts w:hint="eastAsia" w:ascii="仿宋_GB2312" w:hAnsi="仿宋" w:eastAsia="仿宋_GB2312"/>
          <w:sz w:val="32"/>
          <w:szCs w:val="32"/>
        </w:rPr>
        <w:t>公务接待费</w:t>
      </w: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决算</w:t>
      </w:r>
      <w:r>
        <w:rPr>
          <w:rFonts w:hint="eastAsia" w:ascii="仿宋_GB2312" w:hAnsi="仿宋" w:eastAsia="仿宋_GB2312"/>
          <w:sz w:val="32"/>
          <w:szCs w:val="32"/>
          <w:lang w:val="en-US" w:eastAsia="zh-CN"/>
        </w:rPr>
        <w:t>0.11</w:t>
      </w:r>
      <w:r>
        <w:rPr>
          <w:rFonts w:hint="eastAsia" w:ascii="仿宋_GB2312" w:hAnsi="仿宋" w:eastAsia="仿宋_GB2312"/>
          <w:sz w:val="32"/>
          <w:szCs w:val="32"/>
        </w:rPr>
        <w:t>万元（</w:t>
      </w:r>
      <w:r>
        <w:rPr>
          <w:rFonts w:hint="eastAsia" w:ascii="仿宋_GB2312" w:hAnsi="仿宋" w:eastAsia="仿宋_GB2312"/>
          <w:sz w:val="32"/>
          <w:szCs w:val="32"/>
          <w:lang w:eastAsia="zh-CN"/>
        </w:rPr>
        <w:t>2017</w:t>
      </w:r>
      <w:r>
        <w:rPr>
          <w:rFonts w:hint="eastAsia" w:ascii="仿宋_GB2312" w:hAnsi="仿宋" w:eastAsia="仿宋_GB2312"/>
          <w:sz w:val="32"/>
          <w:szCs w:val="32"/>
        </w:rPr>
        <w:t>年度国内公务接待</w:t>
      </w:r>
      <w:r>
        <w:rPr>
          <w:rFonts w:hint="eastAsia" w:ascii="仿宋_GB2312" w:hAnsi="仿宋" w:eastAsia="仿宋_GB2312"/>
          <w:sz w:val="32"/>
          <w:szCs w:val="32"/>
          <w:lang w:val="en-US" w:eastAsia="zh-CN"/>
        </w:rPr>
        <w:t>2</w:t>
      </w:r>
      <w:r>
        <w:rPr>
          <w:rFonts w:hint="eastAsia" w:ascii="仿宋_GB2312" w:hAnsi="仿宋" w:eastAsia="仿宋_GB2312"/>
          <w:sz w:val="32"/>
          <w:szCs w:val="32"/>
        </w:rPr>
        <w:t>批次，合计接待</w:t>
      </w:r>
      <w:r>
        <w:rPr>
          <w:rFonts w:hint="eastAsia" w:ascii="仿宋_GB2312" w:hAnsi="仿宋" w:eastAsia="仿宋_GB2312"/>
          <w:sz w:val="32"/>
          <w:szCs w:val="32"/>
          <w:lang w:val="en-US" w:eastAsia="zh-CN"/>
        </w:rPr>
        <w:t>10</w:t>
      </w:r>
      <w:r>
        <w:rPr>
          <w:rFonts w:hint="eastAsia" w:ascii="仿宋_GB2312" w:hAnsi="仿宋" w:eastAsia="仿宋_GB2312"/>
          <w:sz w:val="32"/>
          <w:szCs w:val="32"/>
        </w:rPr>
        <w:t>人次），与</w:t>
      </w:r>
      <w:r>
        <w:rPr>
          <w:rFonts w:hint="eastAsia" w:ascii="仿宋_GB2312" w:hAnsi="仿宋" w:eastAsia="仿宋_GB2312"/>
          <w:sz w:val="32"/>
          <w:szCs w:val="32"/>
          <w:lang w:eastAsia="zh-CN"/>
        </w:rPr>
        <w:t>2016</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相比，</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0.11万元</w:t>
      </w:r>
      <w:r>
        <w:rPr>
          <w:rFonts w:hint="eastAsia" w:ascii="仿宋_GB2312" w:hAnsi="仿宋" w:eastAsia="仿宋_GB2312"/>
          <w:sz w:val="32"/>
          <w:szCs w:val="32"/>
        </w:rPr>
        <w:t>。</w:t>
      </w:r>
    </w:p>
    <w:p>
      <w:pPr>
        <w:widowControl/>
        <w:spacing w:line="520" w:lineRule="exact"/>
        <w:ind w:firstLine="643" w:firstLineChars="200"/>
        <w:jc w:val="left"/>
        <w:rPr>
          <w:rFonts w:ascii="仿宋_GB2312" w:hAnsi="仿宋_GB2312" w:eastAsia="仿宋_GB2312"/>
          <w:sz w:val="32"/>
          <w:szCs w:val="32"/>
        </w:rPr>
      </w:pPr>
      <w:r>
        <w:rPr>
          <w:rFonts w:hint="eastAsia" w:ascii="楷体_GB2312" w:hAnsi="黑体" w:eastAsia="楷体_GB2312" w:cs="黑体"/>
          <w:b/>
          <w:sz w:val="32"/>
          <w:szCs w:val="32"/>
        </w:rPr>
        <w:t>（</w:t>
      </w:r>
      <w:r>
        <w:rPr>
          <w:rFonts w:hint="eastAsia" w:ascii="楷体_GB2312" w:hAnsi="黑体" w:eastAsia="楷体_GB2312" w:cs="黑体"/>
          <w:b/>
          <w:sz w:val="32"/>
          <w:szCs w:val="32"/>
          <w:lang w:eastAsia="zh-CN"/>
        </w:rPr>
        <w:t>六</w:t>
      </w:r>
      <w:r>
        <w:rPr>
          <w:rFonts w:hint="eastAsia" w:ascii="楷体_GB2312" w:hAnsi="黑体" w:eastAsia="楷体_GB2312" w:cs="黑体"/>
          <w:b/>
          <w:sz w:val="32"/>
          <w:szCs w:val="32"/>
        </w:rPr>
        <w:t>）绩效预算信息</w:t>
      </w:r>
    </w:p>
    <w:p>
      <w:pPr>
        <w:autoSpaceDE w:val="0"/>
        <w:autoSpaceDN w:val="0"/>
        <w:snapToGrid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1、预算绩效管理工作开展情况</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三河市食品药品监督管理局全面完成食品药品监管体制改革任务，整合食品生产、流通、餐饮环节的监管，完成了职责调整、机构整合和人员编制划转工作。并依据有关法律法规和国家食品药品监督总局的要求开展了保健食品、化妆品、生产加工环节、食品销售和餐饮环节的监督抽验工作。</w:t>
      </w:r>
    </w:p>
    <w:p>
      <w:pPr>
        <w:autoSpaceDE w:val="0"/>
        <w:autoSpaceDN w:val="0"/>
        <w:snapToGrid w:val="0"/>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2、预算项目绩效评价开展情况</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我局食品安全抽验经费项目具体工作由保健食品化妆品监管股、食品生产流通监管股负责。主要项目成效如下：</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（1）全面推进食药监局体制改革，完成食品、保健食品和化妆品抽验监管工作的衔接。</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三河市食药监局全面完成食品药品监管体制改革任务，整合食品生产、流通、餐饮环节的监管，完成了职责调整、机构整合和人员编制划转工作。</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将质量技术监督局食品生产环节监督管理职责、工商行政管理局流通环节食品监督管理职责及卫生局餐饮业、食堂等消费环节食品安全监督管理职责划入三河市</w:t>
      </w:r>
      <w:r>
        <w:rPr>
          <w:rFonts w:hint="eastAsia" w:ascii="仿宋_GB2312" w:hAnsi="仿宋" w:eastAsia="仿宋_GB2312"/>
          <w:sz w:val="32"/>
          <w:szCs w:val="32"/>
          <w:lang w:eastAsia="zh-CN"/>
        </w:rPr>
        <w:t>食</w:t>
      </w:r>
      <w:r>
        <w:rPr>
          <w:rFonts w:hint="eastAsia" w:ascii="仿宋_GB2312" w:hAnsi="仿宋" w:eastAsia="仿宋_GB2312"/>
          <w:sz w:val="32"/>
          <w:szCs w:val="32"/>
        </w:rPr>
        <w:t>药监局。</w:t>
      </w:r>
    </w:p>
    <w:p>
      <w:pPr>
        <w:widowControl/>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完成上述工作后，三河市食药监局即着手制定并实施</w:t>
      </w: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各项抽检工作计划。</w:t>
      </w: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全年开展抽验</w:t>
      </w:r>
      <w:r>
        <w:rPr>
          <w:rFonts w:hint="eastAsia" w:ascii="仿宋_GB2312" w:hAnsi="仿宋" w:eastAsia="仿宋_GB2312"/>
          <w:sz w:val="32"/>
          <w:szCs w:val="32"/>
          <w:lang w:val="en-US" w:eastAsia="zh-CN"/>
        </w:rPr>
        <w:t>3004</w:t>
      </w:r>
      <w:r>
        <w:rPr>
          <w:rFonts w:hint="eastAsia" w:ascii="仿宋_GB2312" w:hAnsi="仿宋" w:eastAsia="仿宋_GB2312"/>
          <w:sz w:val="32"/>
          <w:szCs w:val="32"/>
        </w:rPr>
        <w:t>批，具体情况如下：</w:t>
      </w:r>
    </w:p>
    <w:p>
      <w:pPr>
        <w:widowControl/>
        <w:spacing w:line="520" w:lineRule="exact"/>
        <w:ind w:firstLine="640" w:firstLineChars="200"/>
        <w:jc w:val="left"/>
        <w:rPr>
          <w:rFonts w:hint="eastAsia" w:ascii="仿宋_GB2312" w:hAnsi="仿宋" w:eastAsia="仿宋_GB2312"/>
          <w:color w:val="auto"/>
          <w:sz w:val="32"/>
          <w:szCs w:val="32"/>
        </w:rPr>
      </w:pPr>
    </w:p>
    <w:tbl>
      <w:tblPr>
        <w:tblStyle w:val="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jc w:val="center"/>
              <w:rPr>
                <w:rFonts w:ascii="仿宋" w:hAnsi="仿宋" w:eastAsia="仿宋"/>
                <w:color w:val="auto"/>
                <w:sz w:val="28"/>
                <w:szCs w:val="28"/>
              </w:rPr>
            </w:pPr>
            <w:r>
              <w:rPr>
                <w:rFonts w:ascii="仿宋" w:hAnsi="仿宋" w:eastAsia="仿宋"/>
                <w:color w:val="auto"/>
                <w:sz w:val="28"/>
                <w:szCs w:val="28"/>
              </w:rPr>
              <w:t>项目</w:t>
            </w:r>
          </w:p>
        </w:tc>
        <w:tc>
          <w:tcPr>
            <w:tcW w:w="2130" w:type="dxa"/>
            <w:shd w:val="clear" w:color="auto" w:fill="auto"/>
          </w:tcPr>
          <w:p>
            <w:pPr>
              <w:spacing w:line="560" w:lineRule="exact"/>
              <w:jc w:val="center"/>
              <w:rPr>
                <w:rFonts w:ascii="仿宋" w:hAnsi="仿宋" w:eastAsia="仿宋"/>
                <w:color w:val="auto"/>
                <w:sz w:val="28"/>
                <w:szCs w:val="28"/>
              </w:rPr>
            </w:pPr>
            <w:r>
              <w:rPr>
                <w:rFonts w:ascii="仿宋" w:hAnsi="仿宋" w:eastAsia="仿宋"/>
                <w:color w:val="auto"/>
                <w:sz w:val="28"/>
                <w:szCs w:val="28"/>
              </w:rPr>
              <w:t>总批次</w:t>
            </w:r>
          </w:p>
        </w:tc>
        <w:tc>
          <w:tcPr>
            <w:tcW w:w="2131" w:type="dxa"/>
            <w:shd w:val="clear" w:color="auto" w:fill="auto"/>
          </w:tcPr>
          <w:p>
            <w:pPr>
              <w:spacing w:line="560" w:lineRule="exact"/>
              <w:jc w:val="center"/>
              <w:rPr>
                <w:rFonts w:ascii="仿宋" w:hAnsi="仿宋" w:eastAsia="仿宋"/>
                <w:color w:val="auto"/>
                <w:sz w:val="28"/>
                <w:szCs w:val="28"/>
              </w:rPr>
            </w:pPr>
            <w:r>
              <w:rPr>
                <w:rFonts w:ascii="仿宋" w:hAnsi="仿宋" w:eastAsia="仿宋"/>
                <w:color w:val="auto"/>
                <w:sz w:val="28"/>
                <w:szCs w:val="28"/>
              </w:rPr>
              <w:t>合格</w:t>
            </w:r>
          </w:p>
        </w:tc>
        <w:tc>
          <w:tcPr>
            <w:tcW w:w="2131" w:type="dxa"/>
            <w:shd w:val="clear" w:color="auto" w:fill="auto"/>
          </w:tcPr>
          <w:p>
            <w:pPr>
              <w:spacing w:line="560" w:lineRule="exact"/>
              <w:jc w:val="center"/>
              <w:rPr>
                <w:rFonts w:ascii="仿宋" w:hAnsi="仿宋" w:eastAsia="仿宋"/>
                <w:color w:val="auto"/>
                <w:sz w:val="28"/>
                <w:szCs w:val="28"/>
              </w:rPr>
            </w:pPr>
            <w:r>
              <w:rPr>
                <w:rFonts w:ascii="仿宋" w:hAnsi="仿宋" w:eastAsia="仿宋"/>
                <w:color w:val="auto"/>
                <w:sz w:val="28"/>
                <w:szCs w:val="28"/>
              </w:rPr>
              <w:t>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color w:val="auto"/>
                <w:sz w:val="28"/>
                <w:szCs w:val="28"/>
              </w:rPr>
            </w:pPr>
            <w:r>
              <w:rPr>
                <w:rFonts w:ascii="仿宋" w:hAnsi="仿宋" w:eastAsia="仿宋"/>
                <w:color w:val="auto"/>
                <w:sz w:val="28"/>
                <w:szCs w:val="28"/>
              </w:rPr>
              <w:t>保健食品</w:t>
            </w:r>
          </w:p>
        </w:tc>
        <w:tc>
          <w:tcPr>
            <w:tcW w:w="2130" w:type="dxa"/>
            <w:shd w:val="clear" w:color="auto" w:fill="auto"/>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41</w:t>
            </w:r>
          </w:p>
        </w:tc>
        <w:tc>
          <w:tcPr>
            <w:tcW w:w="2131" w:type="dxa"/>
            <w:shd w:val="clear" w:color="auto" w:fill="auto"/>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41</w:t>
            </w:r>
          </w:p>
        </w:tc>
        <w:tc>
          <w:tcPr>
            <w:tcW w:w="2131" w:type="dxa"/>
            <w:shd w:val="clear" w:color="auto" w:fill="auto"/>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color w:val="auto"/>
                <w:sz w:val="28"/>
                <w:szCs w:val="28"/>
              </w:rPr>
            </w:pPr>
            <w:r>
              <w:rPr>
                <w:rFonts w:ascii="仿宋" w:hAnsi="仿宋" w:eastAsia="仿宋"/>
                <w:color w:val="auto"/>
                <w:sz w:val="28"/>
                <w:szCs w:val="28"/>
              </w:rPr>
              <w:t>化妆品</w:t>
            </w:r>
          </w:p>
        </w:tc>
        <w:tc>
          <w:tcPr>
            <w:tcW w:w="2130" w:type="dxa"/>
            <w:shd w:val="clear" w:color="auto" w:fill="auto"/>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36</w:t>
            </w:r>
          </w:p>
        </w:tc>
        <w:tc>
          <w:tcPr>
            <w:tcW w:w="2131" w:type="dxa"/>
            <w:shd w:val="clear" w:color="auto" w:fill="auto"/>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36</w:t>
            </w:r>
          </w:p>
        </w:tc>
        <w:tc>
          <w:tcPr>
            <w:tcW w:w="2131" w:type="dxa"/>
            <w:shd w:val="clear" w:color="auto" w:fill="auto"/>
          </w:tcPr>
          <w:p>
            <w:pPr>
              <w:spacing w:line="560" w:lineRule="exact"/>
              <w:jc w:val="center"/>
              <w:rPr>
                <w:rFonts w:ascii="仿宋" w:hAnsi="仿宋" w:eastAsia="仿宋"/>
                <w:color w:val="auto"/>
                <w:sz w:val="28"/>
                <w:szCs w:val="28"/>
              </w:rPr>
            </w:pPr>
            <w:r>
              <w:rPr>
                <w:rFonts w:hint="eastAsia" w:ascii="仿宋" w:hAnsi="仿宋" w:eastAsia="仿宋"/>
                <w:color w:val="auto"/>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color w:val="auto"/>
                <w:sz w:val="28"/>
                <w:szCs w:val="28"/>
              </w:rPr>
            </w:pPr>
            <w:r>
              <w:rPr>
                <w:rFonts w:ascii="仿宋" w:hAnsi="仿宋" w:eastAsia="仿宋"/>
                <w:color w:val="auto"/>
                <w:sz w:val="28"/>
                <w:szCs w:val="28"/>
              </w:rPr>
              <w:t>食用农产品</w:t>
            </w:r>
          </w:p>
        </w:tc>
        <w:tc>
          <w:tcPr>
            <w:tcW w:w="2130"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360</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357</w:t>
            </w:r>
          </w:p>
        </w:tc>
        <w:tc>
          <w:tcPr>
            <w:tcW w:w="2131" w:type="dxa"/>
            <w:shd w:val="clear" w:color="auto" w:fill="auto"/>
          </w:tcPr>
          <w:p>
            <w:pPr>
              <w:spacing w:line="560" w:lineRule="exact"/>
              <w:jc w:val="center"/>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color w:val="auto"/>
                <w:sz w:val="28"/>
                <w:szCs w:val="28"/>
              </w:rPr>
            </w:pPr>
            <w:r>
              <w:rPr>
                <w:rFonts w:ascii="仿宋" w:hAnsi="仿宋" w:eastAsia="仿宋"/>
                <w:color w:val="auto"/>
                <w:sz w:val="28"/>
                <w:szCs w:val="28"/>
              </w:rPr>
              <w:t>生产环节</w:t>
            </w:r>
          </w:p>
        </w:tc>
        <w:tc>
          <w:tcPr>
            <w:tcW w:w="2130"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120</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119</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color w:val="auto"/>
                <w:sz w:val="28"/>
                <w:szCs w:val="28"/>
              </w:rPr>
            </w:pPr>
            <w:r>
              <w:rPr>
                <w:rFonts w:ascii="仿宋" w:hAnsi="仿宋" w:eastAsia="仿宋"/>
                <w:color w:val="auto"/>
                <w:sz w:val="28"/>
                <w:szCs w:val="28"/>
              </w:rPr>
              <w:t>食品销售环节</w:t>
            </w:r>
          </w:p>
        </w:tc>
        <w:tc>
          <w:tcPr>
            <w:tcW w:w="2130"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1200</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1189</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color w:val="auto"/>
                <w:sz w:val="28"/>
                <w:szCs w:val="28"/>
              </w:rPr>
            </w:pPr>
            <w:r>
              <w:rPr>
                <w:rFonts w:ascii="仿宋" w:hAnsi="仿宋" w:eastAsia="仿宋"/>
                <w:color w:val="auto"/>
                <w:sz w:val="28"/>
                <w:szCs w:val="28"/>
              </w:rPr>
              <w:t>餐饮环节</w:t>
            </w:r>
          </w:p>
        </w:tc>
        <w:tc>
          <w:tcPr>
            <w:tcW w:w="2130"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1247</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1193</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30" w:type="dxa"/>
            <w:shd w:val="clear" w:color="auto" w:fill="auto"/>
          </w:tcPr>
          <w:p>
            <w:pPr>
              <w:spacing w:line="560" w:lineRule="exact"/>
              <w:rPr>
                <w:rFonts w:ascii="仿宋" w:hAnsi="仿宋" w:eastAsia="仿宋"/>
                <w:color w:val="auto"/>
                <w:sz w:val="28"/>
                <w:szCs w:val="28"/>
              </w:rPr>
            </w:pPr>
            <w:r>
              <w:rPr>
                <w:rFonts w:ascii="仿宋" w:hAnsi="仿宋" w:eastAsia="仿宋"/>
                <w:color w:val="auto"/>
                <w:sz w:val="28"/>
                <w:szCs w:val="28"/>
              </w:rPr>
              <w:t>合计</w:t>
            </w:r>
          </w:p>
        </w:tc>
        <w:tc>
          <w:tcPr>
            <w:tcW w:w="2130"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3004</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2935</w:t>
            </w:r>
          </w:p>
        </w:tc>
        <w:tc>
          <w:tcPr>
            <w:tcW w:w="2131" w:type="dxa"/>
            <w:shd w:val="clear" w:color="auto" w:fill="auto"/>
          </w:tcPr>
          <w:p>
            <w:pPr>
              <w:spacing w:line="56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69</w:t>
            </w:r>
          </w:p>
        </w:tc>
      </w:tr>
    </w:tbl>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（2）统一遴选承担监督抽检检验任务的检验机构，提升检验检测水平。</w:t>
      </w:r>
    </w:p>
    <w:p>
      <w:pPr>
        <w:widowControl/>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对检测机构进行了遴选，通过招投标程序确定四家检测机构承担全市</w:t>
      </w:r>
      <w:r>
        <w:rPr>
          <w:rFonts w:hint="eastAsia" w:ascii="仿宋_GB2312" w:hAnsi="仿宋" w:eastAsia="仿宋_GB2312"/>
          <w:sz w:val="32"/>
          <w:szCs w:val="32"/>
          <w:lang w:eastAsia="zh-CN"/>
        </w:rPr>
        <w:t>2017</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rPr>
        <w:t>的监督抽检任务，并签订委托检验检测合同。</w:t>
      </w:r>
    </w:p>
    <w:p>
      <w:pPr>
        <w:autoSpaceDE w:val="0"/>
        <w:autoSpaceDN w:val="0"/>
        <w:snapToGrid w:val="0"/>
        <w:spacing w:line="52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 w:eastAsia="仿宋_GB2312"/>
          <w:sz w:val="32"/>
          <w:szCs w:val="32"/>
        </w:rPr>
        <w:t>我局通过对食品生产、流通、餐饮等环节的监督抽验，发现质量问题点，为食品监管、稽查提供技术数据支撑。全面了解食品安全状况，发现安全隐患，从而有针对性的采取措施，消除隐患，保障公众身体健康和生命安全。</w:t>
      </w:r>
    </w:p>
    <w:p>
      <w:pPr>
        <w:autoSpaceDE w:val="0"/>
        <w:autoSpaceDN w:val="0"/>
        <w:snapToGrid w:val="0"/>
        <w:spacing w:line="52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3、预算项目绩效自评选例</w:t>
      </w:r>
    </w:p>
    <w:p>
      <w:pPr>
        <w:autoSpaceDE w:val="0"/>
        <w:autoSpaceDN w:val="0"/>
        <w:snapToGrid w:val="0"/>
        <w:spacing w:line="520" w:lineRule="exact"/>
        <w:ind w:firstLine="640" w:firstLineChars="200"/>
        <w:rPr>
          <w:rFonts w:ascii="仿宋_GB2312" w:hAnsi="仿宋" w:eastAsia="仿宋_GB2312"/>
          <w:sz w:val="32"/>
          <w:szCs w:val="32"/>
        </w:rPr>
      </w:pPr>
      <w:r>
        <w:rPr>
          <w:rFonts w:hint="eastAsia" w:ascii="仿宋_GB2312" w:hAnsi="宋体" w:eastAsia="仿宋_GB2312"/>
          <w:sz w:val="32"/>
          <w:szCs w:val="32"/>
          <w:lang w:val="en-US" w:eastAsia="zh-CN"/>
        </w:rPr>
        <w:t>2017年</w:t>
      </w:r>
      <w:r>
        <w:rPr>
          <w:rFonts w:hint="eastAsia" w:ascii="仿宋_GB2312" w:hAnsi="宋体" w:eastAsia="仿宋_GB2312"/>
          <w:sz w:val="32"/>
          <w:szCs w:val="32"/>
          <w:lang w:eastAsia="zh-CN"/>
        </w:rPr>
        <w:t>食品安全抽验经费项目中，</w:t>
      </w:r>
      <w:r>
        <w:rPr>
          <w:rFonts w:hint="eastAsia" w:ascii="仿宋_GB2312" w:hAnsi="宋体" w:eastAsia="仿宋_GB2312"/>
          <w:sz w:val="32"/>
          <w:szCs w:val="32"/>
        </w:rPr>
        <w:t>食品销售环节抽样范围主要为辖区内农贸市场、批发市场、商场超市及食品店、肉食店、粮油店等，城区和乡镇、农村各占50%。每个月常规抽检不少于100批次，全年不少于</w:t>
      </w:r>
      <w:r>
        <w:rPr>
          <w:rFonts w:hint="eastAsia" w:ascii="仿宋_GB2312" w:hAnsi="宋体" w:eastAsia="仿宋_GB2312"/>
          <w:sz w:val="32"/>
          <w:szCs w:val="32"/>
          <w:lang w:val="en-US" w:eastAsia="zh-CN"/>
        </w:rPr>
        <w:t>1200</w:t>
      </w:r>
      <w:r>
        <w:rPr>
          <w:rFonts w:hint="eastAsia" w:ascii="仿宋_GB2312" w:hAnsi="宋体" w:eastAsia="仿宋_GB2312"/>
          <w:sz w:val="32"/>
          <w:szCs w:val="32"/>
        </w:rPr>
        <w:t>批次。</w:t>
      </w:r>
      <w:r>
        <w:rPr>
          <w:rFonts w:hint="eastAsia" w:ascii="仿宋_GB2312" w:hAnsi="宋体" w:eastAsia="仿宋_GB2312"/>
          <w:sz w:val="32"/>
          <w:szCs w:val="32"/>
          <w:lang w:eastAsia="zh-CN"/>
        </w:rPr>
        <w:t>自评过程中发现，我局按照年度抽检计划完成各项抽验工作，同时通过监督抽验，发现</w:t>
      </w:r>
      <w:r>
        <w:rPr>
          <w:rFonts w:hint="eastAsia" w:ascii="仿宋_GB2312" w:hAnsi="仿宋" w:eastAsia="仿宋_GB2312"/>
          <w:sz w:val="32"/>
          <w:szCs w:val="32"/>
        </w:rPr>
        <w:t>质量问题点，为食品监管、稽查提供技术数据支撑</w:t>
      </w:r>
      <w:r>
        <w:rPr>
          <w:rFonts w:hint="eastAsia" w:ascii="仿宋_GB2312" w:hAnsi="仿宋" w:eastAsia="仿宋_GB2312"/>
          <w:sz w:val="32"/>
          <w:szCs w:val="32"/>
          <w:lang w:eastAsia="zh-CN"/>
        </w:rPr>
        <w:t>。因此，我局</w:t>
      </w:r>
      <w:r>
        <w:rPr>
          <w:rFonts w:hint="eastAsia" w:ascii="仿宋_GB2312" w:hAnsi="宋体" w:eastAsia="仿宋_GB2312"/>
          <w:sz w:val="32"/>
          <w:szCs w:val="32"/>
          <w:lang w:eastAsia="zh-CN"/>
        </w:rPr>
        <w:t>食品安全抽验经费项目绩效自评结果为优秀。</w:t>
      </w:r>
    </w:p>
    <w:p>
      <w:pPr>
        <w:widowControl/>
        <w:numPr>
          <w:ilvl w:val="0"/>
          <w:numId w:val="3"/>
        </w:numPr>
        <w:spacing w:line="520" w:lineRule="exact"/>
        <w:ind w:firstLine="643" w:firstLineChars="200"/>
        <w:jc w:val="left"/>
        <w:rPr>
          <w:rFonts w:hint="eastAsia" w:ascii="楷体_GB2312" w:hAnsi="黑体" w:eastAsia="楷体_GB2312" w:cs="黑体"/>
          <w:b/>
          <w:bCs w:val="0"/>
          <w:sz w:val="32"/>
          <w:szCs w:val="32"/>
          <w:lang w:eastAsia="zh-CN"/>
        </w:rPr>
      </w:pPr>
      <w:r>
        <w:rPr>
          <w:rFonts w:hint="eastAsia" w:ascii="楷体_GB2312" w:hAnsi="黑体" w:eastAsia="楷体_GB2312" w:cs="黑体"/>
          <w:b/>
          <w:bCs w:val="0"/>
          <w:sz w:val="32"/>
          <w:szCs w:val="32"/>
          <w:lang w:eastAsia="zh-CN"/>
        </w:rPr>
        <w:t>其他重要事项的说明</w:t>
      </w:r>
    </w:p>
    <w:p>
      <w:pPr>
        <w:autoSpaceDE w:val="0"/>
        <w:autoSpaceDN w:val="0"/>
        <w:adjustRightInd w:val="0"/>
        <w:spacing w:line="520" w:lineRule="exact"/>
        <w:ind w:firstLine="643" w:firstLineChars="200"/>
        <w:jc w:val="left"/>
        <w:rPr>
          <w:rFonts w:hint="eastAsia" w:ascii="仿宋_GB2312" w:hAnsi="仿宋" w:eastAsia="仿宋_GB2312"/>
          <w:color w:val="auto"/>
          <w:sz w:val="32"/>
          <w:szCs w:val="32"/>
        </w:rPr>
      </w:pPr>
      <w:r>
        <w:rPr>
          <w:rFonts w:hint="eastAsia" w:ascii="仿宋_GB2312" w:hAnsi="仿宋" w:eastAsia="仿宋_GB2312"/>
          <w:b/>
          <w:bCs/>
          <w:color w:val="auto"/>
          <w:sz w:val="32"/>
          <w:szCs w:val="32"/>
        </w:rPr>
        <w:t>1.机关运行经费情况</w:t>
      </w:r>
    </w:p>
    <w:p>
      <w:pPr>
        <w:autoSpaceDE w:val="0"/>
        <w:autoSpaceDN w:val="0"/>
        <w:adjustRightInd w:val="0"/>
        <w:spacing w:line="520" w:lineRule="exact"/>
        <w:ind w:firstLine="640" w:firstLineChars="200"/>
        <w:jc w:val="left"/>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2017</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度</w:t>
      </w:r>
      <w:r>
        <w:rPr>
          <w:rFonts w:hint="eastAsia" w:ascii="仿宋_GB2312" w:hAnsi="仿宋" w:eastAsia="仿宋_GB2312"/>
          <w:color w:val="auto"/>
          <w:sz w:val="32"/>
          <w:szCs w:val="32"/>
        </w:rPr>
        <w:t>我部门机关</w:t>
      </w:r>
      <w:r>
        <w:rPr>
          <w:rFonts w:hint="eastAsia" w:ascii="仿宋_GB2312" w:hAnsi="仿宋" w:eastAsia="仿宋_GB2312"/>
          <w:color w:val="auto"/>
          <w:sz w:val="32"/>
          <w:szCs w:val="32"/>
          <w:lang w:eastAsia="zh-CN"/>
        </w:rPr>
        <w:t>运行</w:t>
      </w:r>
      <w:r>
        <w:rPr>
          <w:rFonts w:hint="eastAsia" w:ascii="仿宋_GB2312" w:hAnsi="仿宋" w:eastAsia="仿宋_GB2312"/>
          <w:color w:val="auto"/>
          <w:sz w:val="32"/>
          <w:szCs w:val="32"/>
        </w:rPr>
        <w:t>经费决算总合计</w:t>
      </w:r>
      <w:r>
        <w:rPr>
          <w:rFonts w:hint="eastAsia" w:ascii="仿宋_GB2312" w:hAnsi="仿宋" w:eastAsia="仿宋_GB2312"/>
          <w:color w:val="auto"/>
          <w:sz w:val="32"/>
          <w:szCs w:val="32"/>
          <w:lang w:val="en-US" w:eastAsia="zh-CN"/>
        </w:rPr>
        <w:t>195.03</w:t>
      </w:r>
      <w:r>
        <w:rPr>
          <w:rFonts w:hint="eastAsia" w:ascii="仿宋_GB2312" w:hAnsi="仿宋" w:eastAsia="仿宋_GB2312"/>
          <w:color w:val="auto"/>
          <w:sz w:val="32"/>
          <w:szCs w:val="32"/>
        </w:rPr>
        <w:t>万元。</w:t>
      </w:r>
      <w:r>
        <w:rPr>
          <w:rFonts w:hint="eastAsia" w:ascii="仿宋_GB2312" w:hAnsi="仿宋_GB2312" w:eastAsia="仿宋_GB2312"/>
          <w:color w:val="auto"/>
          <w:sz w:val="32"/>
          <w:szCs w:val="30"/>
        </w:rPr>
        <w:t>比</w:t>
      </w:r>
      <w:r>
        <w:rPr>
          <w:rFonts w:hint="eastAsia" w:ascii="仿宋_GB2312" w:hAnsi="仿宋_GB2312" w:eastAsia="仿宋_GB2312"/>
          <w:color w:val="auto"/>
          <w:sz w:val="32"/>
          <w:szCs w:val="30"/>
          <w:lang w:eastAsia="zh-CN"/>
        </w:rPr>
        <w:t>2016</w:t>
      </w:r>
      <w:r>
        <w:rPr>
          <w:rFonts w:hint="eastAsia" w:ascii="仿宋_GB2312" w:hAnsi="仿宋_GB2312" w:eastAsia="仿宋_GB2312"/>
          <w:color w:val="auto"/>
          <w:sz w:val="32"/>
          <w:szCs w:val="30"/>
        </w:rPr>
        <w:t>年度</w:t>
      </w:r>
      <w:r>
        <w:rPr>
          <w:rFonts w:hint="eastAsia" w:ascii="仿宋_GB2312" w:hAnsi="仿宋_GB2312" w:eastAsia="仿宋_GB2312"/>
          <w:color w:val="auto"/>
          <w:sz w:val="32"/>
          <w:szCs w:val="30"/>
          <w:lang w:eastAsia="zh-CN"/>
        </w:rPr>
        <w:t>的</w:t>
      </w:r>
      <w:r>
        <w:rPr>
          <w:rFonts w:hint="eastAsia" w:ascii="仿宋_GB2312" w:hAnsi="仿宋" w:eastAsia="仿宋_GB2312"/>
          <w:color w:val="auto"/>
          <w:sz w:val="32"/>
          <w:szCs w:val="32"/>
          <w:lang w:val="en-US" w:eastAsia="zh-CN"/>
        </w:rPr>
        <w:t>22.85</w:t>
      </w:r>
      <w:r>
        <w:rPr>
          <w:rFonts w:hint="eastAsia" w:ascii="仿宋_GB2312" w:hAnsi="仿宋_GB2312" w:eastAsia="仿宋_GB2312"/>
          <w:color w:val="auto"/>
          <w:sz w:val="32"/>
          <w:szCs w:val="30"/>
          <w:lang w:val="en-US" w:eastAsia="zh-CN"/>
        </w:rPr>
        <w:t>万元</w:t>
      </w:r>
      <w:r>
        <w:rPr>
          <w:rFonts w:hint="eastAsia" w:ascii="仿宋_GB2312" w:hAnsi="仿宋_GB2312" w:eastAsia="仿宋_GB2312"/>
          <w:color w:val="auto"/>
          <w:sz w:val="32"/>
          <w:szCs w:val="30"/>
          <w:lang w:eastAsia="zh-CN"/>
        </w:rPr>
        <w:t>增加</w:t>
      </w:r>
      <w:r>
        <w:rPr>
          <w:rFonts w:hint="eastAsia" w:ascii="仿宋_GB2312" w:hAnsi="仿宋_GB2312" w:eastAsia="仿宋_GB2312"/>
          <w:color w:val="auto"/>
          <w:sz w:val="32"/>
          <w:szCs w:val="30"/>
          <w:lang w:val="en-US" w:eastAsia="zh-CN"/>
        </w:rPr>
        <w:t>172.18</w:t>
      </w:r>
      <w:r>
        <w:rPr>
          <w:rFonts w:hint="eastAsia" w:ascii="仿宋_GB2312" w:hAnsi="仿宋_GB2312" w:eastAsia="仿宋_GB2312"/>
          <w:color w:val="auto"/>
          <w:sz w:val="32"/>
          <w:szCs w:val="30"/>
        </w:rPr>
        <w:t>万元，</w:t>
      </w:r>
      <w:r>
        <w:rPr>
          <w:rFonts w:hint="eastAsia" w:ascii="仿宋_GB2312" w:hAnsi="仿宋_GB2312" w:eastAsia="仿宋_GB2312"/>
          <w:color w:val="auto"/>
          <w:sz w:val="32"/>
          <w:szCs w:val="30"/>
          <w:lang w:eastAsia="zh-CN"/>
        </w:rPr>
        <w:t>增长</w:t>
      </w:r>
      <w:r>
        <w:rPr>
          <w:rFonts w:hint="eastAsia" w:ascii="仿宋_GB2312" w:hAnsi="仿宋_GB2312" w:eastAsia="仿宋_GB2312"/>
          <w:color w:val="auto"/>
          <w:sz w:val="32"/>
          <w:szCs w:val="30"/>
          <w:lang w:val="en-US" w:eastAsia="zh-CN"/>
        </w:rPr>
        <w:t>753.53</w:t>
      </w:r>
      <w:r>
        <w:rPr>
          <w:rFonts w:hint="eastAsia" w:ascii="仿宋_GB2312" w:hAnsi="仿宋_GB2312" w:eastAsia="仿宋_GB2312"/>
          <w:color w:val="auto"/>
          <w:sz w:val="32"/>
          <w:szCs w:val="30"/>
        </w:rPr>
        <w:t>%。主要原因是：</w:t>
      </w:r>
      <w:r>
        <w:rPr>
          <w:rFonts w:hint="eastAsia" w:ascii="仿宋_GB2312" w:hAnsi="仿宋_GB2312" w:eastAsia="仿宋_GB2312"/>
          <w:color w:val="auto"/>
          <w:sz w:val="32"/>
          <w:szCs w:val="30"/>
          <w:lang w:eastAsia="zh-CN"/>
        </w:rPr>
        <w:t>业务规模增加、监管范围扩大、行政执法人员增多，人员经费和日常运转经费相应提高。</w:t>
      </w:r>
    </w:p>
    <w:p>
      <w:pPr>
        <w:autoSpaceDE w:val="0"/>
        <w:autoSpaceDN w:val="0"/>
        <w:adjustRightInd w:val="0"/>
        <w:spacing w:line="520" w:lineRule="exact"/>
        <w:ind w:firstLine="643" w:firstLineChars="200"/>
        <w:jc w:val="left"/>
        <w:rPr>
          <w:rFonts w:hint="eastAsia" w:ascii="仿宋_GB2312" w:hAnsi="仿宋" w:eastAsia="仿宋_GB2312"/>
          <w:b/>
          <w:bCs/>
          <w:color w:val="auto"/>
          <w:sz w:val="32"/>
          <w:szCs w:val="32"/>
        </w:rPr>
      </w:pPr>
      <w:r>
        <w:rPr>
          <w:rFonts w:hint="eastAsia" w:ascii="仿宋_GB2312" w:hAnsi="仿宋" w:eastAsia="仿宋_GB2312"/>
          <w:b/>
          <w:bCs/>
          <w:color w:val="auto"/>
          <w:sz w:val="32"/>
          <w:szCs w:val="32"/>
        </w:rPr>
        <w:t>2.政府采购情况</w:t>
      </w:r>
    </w:p>
    <w:p>
      <w:pPr>
        <w:autoSpaceDE w:val="0"/>
        <w:autoSpaceDN w:val="0"/>
        <w:snapToGrid w:val="0"/>
        <w:spacing w:line="520" w:lineRule="exact"/>
        <w:ind w:firstLine="640" w:firstLineChars="200"/>
        <w:rPr>
          <w:rFonts w:ascii="仿宋_GB2312" w:hAnsi="仿宋_GB2312" w:eastAsia="仿宋_GB2312" w:cs="仿宋_GB2312"/>
          <w:color w:val="333333"/>
          <w:kern w:val="0"/>
          <w:sz w:val="32"/>
          <w:szCs w:val="32"/>
          <w:shd w:val="clear" w:color="auto" w:fill="FFFFFF"/>
        </w:rPr>
      </w:pPr>
      <w:bookmarkStart w:id="0" w:name="_Toc471398468"/>
      <w:r>
        <w:rPr>
          <w:rFonts w:hint="eastAsia" w:ascii="仿宋_GB2312" w:hAnsi="仿宋_GB2312" w:eastAsia="仿宋_GB2312" w:cs="仿宋_GB2312"/>
          <w:color w:val="333333"/>
          <w:kern w:val="0"/>
          <w:sz w:val="32"/>
          <w:szCs w:val="32"/>
          <w:shd w:val="clear" w:color="auto" w:fill="FFFFFF"/>
          <w:lang w:eastAsia="zh-CN"/>
        </w:rPr>
        <w:t>2017</w:t>
      </w:r>
      <w:r>
        <w:rPr>
          <w:rFonts w:ascii="仿宋_GB2312" w:hAnsi="仿宋_GB2312" w:eastAsia="仿宋_GB2312" w:cs="仿宋_GB2312"/>
          <w:color w:val="333333"/>
          <w:kern w:val="0"/>
          <w:sz w:val="32"/>
          <w:szCs w:val="32"/>
          <w:shd w:val="clear" w:color="auto" w:fill="FFFFFF"/>
        </w:rPr>
        <w:t>年</w:t>
      </w:r>
      <w:r>
        <w:rPr>
          <w:rFonts w:hint="eastAsia" w:ascii="仿宋_GB2312" w:hAnsi="仿宋_GB2312" w:eastAsia="仿宋_GB2312" w:cs="仿宋_GB2312"/>
          <w:color w:val="333333"/>
          <w:kern w:val="0"/>
          <w:sz w:val="32"/>
          <w:szCs w:val="32"/>
          <w:shd w:val="clear" w:color="auto" w:fill="FFFFFF"/>
          <w:lang w:eastAsia="zh-CN"/>
        </w:rPr>
        <w:t>度</w:t>
      </w:r>
      <w:r>
        <w:rPr>
          <w:rFonts w:hint="eastAsia" w:ascii="仿宋_GB2312" w:hAnsi="仿宋_GB2312" w:eastAsia="仿宋_GB2312" w:cs="仿宋_GB2312"/>
          <w:color w:val="333333"/>
          <w:kern w:val="0"/>
          <w:sz w:val="32"/>
          <w:szCs w:val="32"/>
          <w:shd w:val="clear" w:color="auto" w:fill="FFFFFF"/>
        </w:rPr>
        <w:t>我部门</w:t>
      </w:r>
      <w:r>
        <w:rPr>
          <w:rFonts w:ascii="仿宋_GB2312" w:hAnsi="仿宋_GB2312" w:eastAsia="仿宋_GB2312" w:cs="仿宋_GB2312"/>
          <w:color w:val="333333"/>
          <w:kern w:val="0"/>
          <w:sz w:val="32"/>
          <w:szCs w:val="32"/>
          <w:shd w:val="clear" w:color="auto" w:fill="FFFFFF"/>
        </w:rPr>
        <w:t>政府采购</w:t>
      </w:r>
      <w:r>
        <w:rPr>
          <w:rFonts w:hint="eastAsia" w:ascii="仿宋_GB2312" w:hAnsi="仿宋_GB2312" w:eastAsia="仿宋_GB2312" w:cs="仿宋_GB2312"/>
          <w:color w:val="333333"/>
          <w:kern w:val="0"/>
          <w:sz w:val="32"/>
          <w:szCs w:val="32"/>
          <w:shd w:val="clear" w:color="auto" w:fill="FFFFFF"/>
        </w:rPr>
        <w:t>决</w:t>
      </w:r>
      <w:r>
        <w:rPr>
          <w:rFonts w:ascii="仿宋_GB2312" w:hAnsi="仿宋_GB2312" w:eastAsia="仿宋_GB2312" w:cs="仿宋_GB2312"/>
          <w:color w:val="333333"/>
          <w:kern w:val="0"/>
          <w:sz w:val="32"/>
          <w:szCs w:val="32"/>
          <w:shd w:val="clear" w:color="auto" w:fill="FFFFFF"/>
        </w:rPr>
        <w:t>算</w:t>
      </w:r>
      <w:r>
        <w:rPr>
          <w:rFonts w:hint="eastAsia" w:ascii="仿宋_GB2312" w:hAnsi="仿宋_GB2312" w:eastAsia="仿宋_GB2312" w:cs="仿宋_GB2312"/>
          <w:color w:val="333333"/>
          <w:kern w:val="0"/>
          <w:sz w:val="32"/>
          <w:szCs w:val="32"/>
          <w:shd w:val="clear" w:color="auto" w:fill="FFFFFF"/>
          <w:lang w:val="en-US" w:eastAsia="zh-CN"/>
        </w:rPr>
        <w:t>421.22</w:t>
      </w:r>
      <w:r>
        <w:rPr>
          <w:rFonts w:ascii="仿宋_GB2312" w:hAnsi="仿宋_GB2312" w:eastAsia="仿宋_GB2312" w:cs="仿宋_GB2312"/>
          <w:color w:val="333333"/>
          <w:kern w:val="0"/>
          <w:sz w:val="32"/>
          <w:szCs w:val="32"/>
          <w:shd w:val="clear" w:color="auto" w:fill="FFFFFF"/>
        </w:rPr>
        <w:t>万元。</w:t>
      </w:r>
      <w:r>
        <w:rPr>
          <w:rFonts w:hint="eastAsia" w:ascii="仿宋_GB2312" w:hAnsi="仿宋_GB2312" w:eastAsia="仿宋_GB2312"/>
          <w:color w:val="auto"/>
          <w:sz w:val="32"/>
          <w:szCs w:val="30"/>
        </w:rPr>
        <w:t>其中：政府采购货物支出</w:t>
      </w:r>
      <w:r>
        <w:rPr>
          <w:rFonts w:hint="eastAsia" w:ascii="仿宋_GB2312" w:hAnsi="仿宋_GB2312" w:eastAsia="仿宋_GB2312"/>
          <w:color w:val="auto"/>
          <w:sz w:val="32"/>
          <w:szCs w:val="30"/>
          <w:lang w:val="en-US" w:eastAsia="zh-CN"/>
        </w:rPr>
        <w:t>86.56</w:t>
      </w:r>
      <w:r>
        <w:rPr>
          <w:rFonts w:hint="eastAsia" w:ascii="仿宋_GB2312" w:hAnsi="仿宋_GB2312" w:eastAsia="仿宋_GB2312"/>
          <w:color w:val="auto"/>
          <w:sz w:val="32"/>
          <w:szCs w:val="30"/>
        </w:rPr>
        <w:t>万元、政府采购工程支出</w:t>
      </w:r>
      <w:r>
        <w:rPr>
          <w:rFonts w:hint="eastAsia" w:ascii="仿宋_GB2312" w:hAnsi="仿宋_GB2312" w:eastAsia="仿宋_GB2312"/>
          <w:color w:val="auto"/>
          <w:sz w:val="32"/>
          <w:szCs w:val="30"/>
          <w:lang w:val="en-US" w:eastAsia="zh-CN"/>
        </w:rPr>
        <w:t>0</w:t>
      </w:r>
      <w:r>
        <w:rPr>
          <w:rFonts w:hint="eastAsia" w:ascii="仿宋_GB2312" w:hAnsi="仿宋_GB2312" w:eastAsia="仿宋_GB2312"/>
          <w:color w:val="auto"/>
          <w:sz w:val="32"/>
          <w:szCs w:val="30"/>
        </w:rPr>
        <w:t>万元、政府采购服务支出</w:t>
      </w:r>
      <w:r>
        <w:rPr>
          <w:rFonts w:hint="eastAsia" w:ascii="仿宋_GB2312" w:hAnsi="仿宋_GB2312" w:eastAsia="仿宋_GB2312"/>
          <w:color w:val="auto"/>
          <w:sz w:val="32"/>
          <w:szCs w:val="30"/>
          <w:lang w:val="en-US" w:eastAsia="zh-CN"/>
        </w:rPr>
        <w:t>334.66</w:t>
      </w:r>
      <w:r>
        <w:rPr>
          <w:rFonts w:hint="eastAsia" w:ascii="仿宋_GB2312" w:hAnsi="仿宋_GB2312" w:eastAsia="仿宋_GB2312"/>
          <w:color w:val="auto"/>
          <w:sz w:val="32"/>
          <w:szCs w:val="30"/>
        </w:rPr>
        <w:t>万元</w:t>
      </w:r>
      <w:r>
        <w:rPr>
          <w:rFonts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eastAsia="zh-CN"/>
        </w:rPr>
        <w:t>其中货物支出主要用于检测设备、办公设备、执法服装的购置和餐饮制度标牌的制作；服务支出主要用于抽验经费的支付。</w:t>
      </w:r>
      <w:r>
        <w:rPr>
          <w:rFonts w:ascii="仿宋_GB2312" w:hAnsi="仿宋_GB2312" w:eastAsia="仿宋_GB2312" w:cs="仿宋_GB2312"/>
          <w:color w:val="333333"/>
          <w:kern w:val="0"/>
          <w:sz w:val="32"/>
          <w:szCs w:val="32"/>
          <w:shd w:val="clear" w:color="auto" w:fill="FFFFFF"/>
        </w:rPr>
        <w:t>具体内容见下表。</w:t>
      </w:r>
    </w:p>
    <w:bookmarkEnd w:id="0"/>
    <w:p>
      <w:pPr>
        <w:autoSpaceDE w:val="0"/>
        <w:autoSpaceDN w:val="0"/>
        <w:snapToGrid w:val="0"/>
        <w:spacing w:line="520" w:lineRule="exact"/>
        <w:jc w:val="center"/>
        <w:rPr>
          <w:rFonts w:ascii="仿宋_GB2312" w:hAnsi="仿宋_GB2312" w:eastAsia="仿宋_GB2312" w:cs="仿宋_GB2312"/>
          <w:color w:val="FF0000"/>
          <w:kern w:val="0"/>
          <w:sz w:val="32"/>
          <w:szCs w:val="32"/>
          <w:shd w:val="clear" w:color="auto" w:fill="FFFFFF"/>
        </w:rPr>
      </w:pPr>
    </w:p>
    <w:tbl>
      <w:tblPr>
        <w:tblStyle w:val="5"/>
        <w:tblW w:w="14140" w:type="dxa"/>
        <w:jc w:val="center"/>
        <w:tblInd w:w="-624" w:type="dxa"/>
        <w:tblLayout w:type="fixed"/>
        <w:tblCellMar>
          <w:top w:w="0" w:type="dxa"/>
          <w:left w:w="108" w:type="dxa"/>
          <w:bottom w:w="0" w:type="dxa"/>
          <w:right w:w="108" w:type="dxa"/>
        </w:tblCellMar>
      </w:tblPr>
      <w:tblGrid>
        <w:gridCol w:w="2020"/>
        <w:gridCol w:w="2020"/>
        <w:gridCol w:w="236"/>
        <w:gridCol w:w="1784"/>
        <w:gridCol w:w="2020"/>
        <w:gridCol w:w="2020"/>
        <w:gridCol w:w="2020"/>
        <w:gridCol w:w="2020"/>
      </w:tblGrid>
      <w:tr>
        <w:tblPrEx>
          <w:tblLayout w:type="fixed"/>
          <w:tblCellMar>
            <w:top w:w="0" w:type="dxa"/>
            <w:left w:w="108" w:type="dxa"/>
            <w:bottom w:w="0" w:type="dxa"/>
            <w:right w:w="108" w:type="dxa"/>
          </w:tblCellMar>
        </w:tblPrEx>
        <w:trPr>
          <w:trHeight w:val="540" w:hRule="atLeast"/>
          <w:jc w:val="center"/>
        </w:trPr>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3804" w:type="dxa"/>
            <w:gridSpan w:val="2"/>
            <w:tcBorders>
              <w:top w:val="nil"/>
              <w:left w:val="nil"/>
              <w:bottom w:val="nil"/>
              <w:right w:val="nil"/>
            </w:tcBorders>
            <w:shd w:val="clear" w:color="auto" w:fill="auto"/>
            <w:vAlign w:val="bottom"/>
          </w:tcPr>
          <w:p>
            <w:pPr>
              <w:widowControl/>
              <w:ind w:firstLine="440" w:firstLineChars="100"/>
              <w:rPr>
                <w:rFonts w:ascii="宋体" w:hAnsi="宋体" w:eastAsia="宋体" w:cs="Arial"/>
                <w:color w:val="000000"/>
                <w:kern w:val="0"/>
                <w:sz w:val="44"/>
                <w:szCs w:val="44"/>
              </w:rPr>
            </w:pPr>
            <w:r>
              <w:rPr>
                <w:rFonts w:hint="eastAsia" w:ascii="宋体" w:hAnsi="宋体" w:eastAsia="宋体" w:cs="Arial"/>
                <w:color w:val="000000"/>
                <w:kern w:val="0"/>
                <w:sz w:val="44"/>
                <w:szCs w:val="44"/>
              </w:rPr>
              <w:t>政府采购情况表</w:t>
            </w: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p>
        </w:tc>
      </w:tr>
      <w:tr>
        <w:tblPrEx>
          <w:tblLayout w:type="fixed"/>
          <w:tblCellMar>
            <w:top w:w="0" w:type="dxa"/>
            <w:left w:w="108" w:type="dxa"/>
            <w:bottom w:w="0" w:type="dxa"/>
            <w:right w:w="108" w:type="dxa"/>
          </w:tblCellMar>
        </w:tblPrEx>
        <w:trPr>
          <w:trHeight w:val="255" w:hRule="atLeast"/>
          <w:jc w:val="center"/>
        </w:trPr>
        <w:tc>
          <w:tcPr>
            <w:tcW w:w="6060" w:type="dxa"/>
            <w:gridSpan w:val="4"/>
            <w:tcBorders>
              <w:top w:val="nil"/>
              <w:left w:val="nil"/>
              <w:bottom w:val="nil"/>
              <w:right w:val="nil"/>
            </w:tcBorders>
            <w:shd w:val="clear" w:color="auto" w:fill="auto"/>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编制单位：三河市食品药品监督管理局</w:t>
            </w:r>
          </w:p>
        </w:tc>
        <w:tc>
          <w:tcPr>
            <w:tcW w:w="2020" w:type="dxa"/>
            <w:tcBorders>
              <w:top w:val="nil"/>
              <w:left w:val="nil"/>
              <w:bottom w:val="nil"/>
              <w:right w:val="nil"/>
            </w:tcBorders>
            <w:shd w:val="clear" w:color="auto" w:fill="auto"/>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lang w:eastAsia="zh-CN"/>
              </w:rPr>
              <w:t>2017</w:t>
            </w:r>
            <w:r>
              <w:rPr>
                <w:rFonts w:hint="eastAsia" w:ascii="宋体" w:hAnsi="宋体" w:eastAsia="宋体" w:cs="Arial"/>
                <w:color w:val="000000"/>
                <w:kern w:val="0"/>
                <w:sz w:val="20"/>
                <w:szCs w:val="20"/>
              </w:rPr>
              <w:t>年度</w:t>
            </w: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jc w:val="center"/>
        </w:trPr>
        <w:tc>
          <w:tcPr>
            <w:tcW w:w="2020" w:type="dxa"/>
            <w:vMerge w:val="restart"/>
            <w:tcBorders>
              <w:top w:val="single" w:color="000000" w:sz="8" w:space="0"/>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2120" w:type="dxa"/>
            <w:gridSpan w:val="7"/>
            <w:tcBorders>
              <w:top w:val="single" w:color="000000" w:sz="8"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采购计划金额</w:t>
            </w:r>
          </w:p>
        </w:tc>
      </w:tr>
      <w:tr>
        <w:tblPrEx>
          <w:tblLayout w:type="fixed"/>
          <w:tblCellMar>
            <w:top w:w="0" w:type="dxa"/>
            <w:left w:w="108" w:type="dxa"/>
            <w:bottom w:w="0" w:type="dxa"/>
            <w:right w:w="108" w:type="dxa"/>
          </w:tblCellMar>
        </w:tblPrEx>
        <w:trPr>
          <w:trHeight w:val="308" w:hRule="atLeast"/>
          <w:jc w:val="center"/>
        </w:trPr>
        <w:tc>
          <w:tcPr>
            <w:tcW w:w="20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总计</w:t>
            </w:r>
          </w:p>
        </w:tc>
        <w:tc>
          <w:tcPr>
            <w:tcW w:w="8080"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采购预算(财政性资金)</w:t>
            </w:r>
          </w:p>
        </w:tc>
        <w:tc>
          <w:tcPr>
            <w:tcW w:w="2020" w:type="dxa"/>
            <w:vMerge w:val="restart"/>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非财政性资金</w:t>
            </w:r>
          </w:p>
        </w:tc>
      </w:tr>
      <w:tr>
        <w:tblPrEx>
          <w:tblLayout w:type="fixed"/>
          <w:tblCellMar>
            <w:top w:w="0" w:type="dxa"/>
            <w:left w:w="108" w:type="dxa"/>
            <w:bottom w:w="0" w:type="dxa"/>
            <w:right w:w="108" w:type="dxa"/>
          </w:tblCellMar>
        </w:tblPrEx>
        <w:trPr>
          <w:trHeight w:val="308" w:hRule="atLeast"/>
          <w:jc w:val="center"/>
        </w:trPr>
        <w:tc>
          <w:tcPr>
            <w:tcW w:w="20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其他资金</w:t>
            </w:r>
          </w:p>
        </w:tc>
        <w:tc>
          <w:tcPr>
            <w:tcW w:w="202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w:t>
            </w:r>
          </w:p>
        </w:tc>
        <w:tc>
          <w:tcPr>
            <w:tcW w:w="20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2</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3</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4</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5</w:t>
            </w:r>
          </w:p>
        </w:tc>
        <w:tc>
          <w:tcPr>
            <w:tcW w:w="2020" w:type="dxa"/>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      计</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453.63</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453.63</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453.63</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货物</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93.63</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93.63</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93.63</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工程</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服务</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360.0</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360.0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360.0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vMerge w:val="restart"/>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项目</w:t>
            </w:r>
          </w:p>
        </w:tc>
        <w:tc>
          <w:tcPr>
            <w:tcW w:w="12120" w:type="dxa"/>
            <w:gridSpan w:val="7"/>
            <w:tcBorders>
              <w:top w:val="single" w:color="000000" w:sz="4"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实际采购金额</w:t>
            </w:r>
          </w:p>
        </w:tc>
      </w:tr>
      <w:tr>
        <w:tblPrEx>
          <w:tblLayout w:type="fixed"/>
          <w:tblCellMar>
            <w:top w:w="0" w:type="dxa"/>
            <w:left w:w="108" w:type="dxa"/>
            <w:bottom w:w="0" w:type="dxa"/>
            <w:right w:w="108" w:type="dxa"/>
          </w:tblCellMar>
        </w:tblPrEx>
        <w:trPr>
          <w:trHeight w:val="308" w:hRule="atLeast"/>
          <w:jc w:val="center"/>
        </w:trPr>
        <w:tc>
          <w:tcPr>
            <w:tcW w:w="202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总计</w:t>
            </w:r>
          </w:p>
        </w:tc>
        <w:tc>
          <w:tcPr>
            <w:tcW w:w="8080"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采购预算(财政性资金)</w:t>
            </w:r>
          </w:p>
        </w:tc>
        <w:tc>
          <w:tcPr>
            <w:tcW w:w="2020" w:type="dxa"/>
            <w:vMerge w:val="restart"/>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非财政性资金</w:t>
            </w:r>
          </w:p>
        </w:tc>
      </w:tr>
      <w:tr>
        <w:tblPrEx>
          <w:tblLayout w:type="fixed"/>
          <w:tblCellMar>
            <w:top w:w="0" w:type="dxa"/>
            <w:left w:w="108" w:type="dxa"/>
            <w:bottom w:w="0" w:type="dxa"/>
            <w:right w:w="108" w:type="dxa"/>
          </w:tblCellMar>
        </w:tblPrEx>
        <w:trPr>
          <w:trHeight w:val="308" w:hRule="atLeast"/>
          <w:jc w:val="center"/>
        </w:trPr>
        <w:tc>
          <w:tcPr>
            <w:tcW w:w="202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szCs w:val="22"/>
              </w:rPr>
            </w:pPr>
          </w:p>
        </w:tc>
        <w:tc>
          <w:tcPr>
            <w:tcW w:w="20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合计</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一般公共预算</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政府性基金预算</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其他资金</w:t>
            </w:r>
          </w:p>
        </w:tc>
        <w:tc>
          <w:tcPr>
            <w:tcW w:w="202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栏次</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7</w:t>
            </w:r>
          </w:p>
        </w:tc>
        <w:tc>
          <w:tcPr>
            <w:tcW w:w="202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8</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9</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10</w:t>
            </w:r>
          </w:p>
        </w:tc>
        <w:tc>
          <w:tcPr>
            <w:tcW w:w="2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11</w:t>
            </w:r>
          </w:p>
        </w:tc>
        <w:tc>
          <w:tcPr>
            <w:tcW w:w="2020" w:type="dxa"/>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12</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合      计</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421.22</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421.22</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421.22</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货物</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86.56</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86.56</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86.56</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nil"/>
              <w:left w:val="single" w:color="000000" w:sz="8"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工程</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r>
        <w:tblPrEx>
          <w:tblLayout w:type="fixed"/>
          <w:tblCellMar>
            <w:top w:w="0" w:type="dxa"/>
            <w:left w:w="108" w:type="dxa"/>
            <w:bottom w:w="0" w:type="dxa"/>
            <w:right w:w="108" w:type="dxa"/>
          </w:tblCellMar>
        </w:tblPrEx>
        <w:trPr>
          <w:trHeight w:val="308" w:hRule="atLeast"/>
          <w:jc w:val="center"/>
        </w:trPr>
        <w:tc>
          <w:tcPr>
            <w:tcW w:w="2020" w:type="dxa"/>
            <w:tcBorders>
              <w:top w:val="single" w:color="000000" w:sz="8" w:space="0"/>
              <w:left w:val="single" w:color="000000" w:sz="8" w:space="0"/>
              <w:bottom w:val="single" w:color="000000" w:sz="8" w:space="0"/>
              <w:right w:val="single" w:color="000000" w:sz="4" w:space="0"/>
            </w:tcBorders>
            <w:shd w:val="clear" w:color="FFFFFF" w:fill="C0C0C0"/>
            <w:vAlign w:val="center"/>
          </w:tcPr>
          <w:p>
            <w:pPr>
              <w:widowControl/>
              <w:jc w:val="center"/>
              <w:rPr>
                <w:rFonts w:ascii="宋体" w:hAnsi="宋体" w:eastAsia="宋体" w:cs="Arial"/>
                <w:color w:val="000000"/>
                <w:kern w:val="0"/>
                <w:sz w:val="22"/>
                <w:szCs w:val="22"/>
              </w:rPr>
            </w:pPr>
            <w:r>
              <w:rPr>
                <w:rFonts w:hint="eastAsia" w:ascii="宋体" w:hAnsi="宋体" w:eastAsia="宋体" w:cs="Arial"/>
                <w:color w:val="000000"/>
                <w:kern w:val="0"/>
                <w:sz w:val="22"/>
                <w:szCs w:val="22"/>
              </w:rPr>
              <w:t>服务</w:t>
            </w:r>
          </w:p>
        </w:tc>
        <w:tc>
          <w:tcPr>
            <w:tcW w:w="2020" w:type="dxa"/>
            <w:tcBorders>
              <w:top w:val="single" w:color="000000" w:sz="8" w:space="0"/>
              <w:left w:val="nil"/>
              <w:bottom w:val="single" w:color="000000" w:sz="8"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Arial"/>
                <w:color w:val="000000"/>
                <w:kern w:val="0"/>
                <w:sz w:val="18"/>
                <w:szCs w:val="18"/>
                <w:lang w:val="en-US" w:eastAsia="zh-CN"/>
              </w:rPr>
              <w:t>334.66</w:t>
            </w:r>
          </w:p>
        </w:tc>
        <w:tc>
          <w:tcPr>
            <w:tcW w:w="2020" w:type="dxa"/>
            <w:gridSpan w:val="2"/>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334.66</w:t>
            </w:r>
          </w:p>
        </w:tc>
        <w:tc>
          <w:tcPr>
            <w:tcW w:w="2020" w:type="dxa"/>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lang w:val="en-US" w:eastAsia="zh-CN"/>
              </w:rPr>
              <w:t>334.66</w:t>
            </w:r>
          </w:p>
        </w:tc>
        <w:tc>
          <w:tcPr>
            <w:tcW w:w="2020" w:type="dxa"/>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single" w:color="000000" w:sz="8" w:space="0"/>
              <w:left w:val="nil"/>
              <w:bottom w:val="single" w:color="000000" w:sz="8" w:space="0"/>
              <w:right w:val="single" w:color="000000" w:sz="4"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c>
          <w:tcPr>
            <w:tcW w:w="2020" w:type="dxa"/>
            <w:tcBorders>
              <w:top w:val="single" w:color="000000" w:sz="8" w:space="0"/>
              <w:left w:val="nil"/>
              <w:bottom w:val="single" w:color="000000" w:sz="8" w:space="0"/>
              <w:right w:val="single" w:color="000000" w:sz="8" w:space="0"/>
            </w:tcBorders>
            <w:shd w:val="clear" w:color="auto" w:fill="auto"/>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w:t>
            </w:r>
          </w:p>
        </w:tc>
      </w:tr>
    </w:tbl>
    <w:p>
      <w:pPr>
        <w:autoSpaceDE w:val="0"/>
        <w:autoSpaceDN w:val="0"/>
        <w:adjustRightInd w:val="0"/>
        <w:spacing w:line="520" w:lineRule="exact"/>
        <w:ind w:firstLine="643" w:firstLineChars="200"/>
        <w:jc w:val="left"/>
        <w:rPr>
          <w:rFonts w:hint="eastAsia" w:ascii="仿宋_GB2312" w:hAnsi="仿宋" w:eastAsia="仿宋_GB2312"/>
          <w:b/>
          <w:bCs/>
          <w:color w:val="auto"/>
          <w:sz w:val="32"/>
          <w:szCs w:val="32"/>
        </w:rPr>
      </w:pPr>
      <w:r>
        <w:rPr>
          <w:rFonts w:hint="eastAsia" w:ascii="仿宋_GB2312" w:hAnsi="仿宋" w:eastAsia="仿宋_GB2312"/>
          <w:b/>
          <w:bCs/>
          <w:color w:val="auto"/>
          <w:sz w:val="32"/>
          <w:szCs w:val="32"/>
        </w:rPr>
        <w:t>3.国有资产占用情况</w:t>
      </w:r>
    </w:p>
    <w:p>
      <w:pPr>
        <w:spacing w:line="520" w:lineRule="exact"/>
        <w:ind w:firstLine="640"/>
        <w:rPr>
          <w:rFonts w:hint="eastAsia" w:eastAsia="仿宋_GB2312"/>
          <w:sz w:val="32"/>
          <w:szCs w:val="32"/>
        </w:rPr>
      </w:pPr>
      <w:bookmarkStart w:id="1" w:name="_GoBack"/>
      <w:bookmarkEnd w:id="1"/>
      <w:r>
        <w:rPr>
          <w:rFonts w:hint="eastAsia" w:eastAsia="仿宋_GB2312"/>
          <w:sz w:val="32"/>
          <w:szCs w:val="32"/>
        </w:rPr>
        <w:t>我部门（含所属事业单位）本年末固定资产金额为</w:t>
      </w:r>
      <w:r>
        <w:rPr>
          <w:rFonts w:hint="eastAsia" w:eastAsia="仿宋_GB2312"/>
          <w:sz w:val="32"/>
          <w:szCs w:val="32"/>
          <w:lang w:val="en-US" w:eastAsia="zh-CN"/>
        </w:rPr>
        <w:t>880.19</w:t>
      </w:r>
      <w:r>
        <w:rPr>
          <w:rFonts w:hint="eastAsia" w:eastAsia="仿宋_GB2312"/>
          <w:sz w:val="32"/>
          <w:szCs w:val="32"/>
        </w:rPr>
        <w:t>万元，分布构成为房屋</w:t>
      </w:r>
      <w:r>
        <w:rPr>
          <w:rFonts w:hint="eastAsia" w:eastAsia="仿宋_GB2312"/>
          <w:sz w:val="32"/>
          <w:szCs w:val="32"/>
          <w:lang w:val="en-US" w:eastAsia="zh-CN"/>
        </w:rPr>
        <w:t>95</w:t>
      </w:r>
      <w:r>
        <w:rPr>
          <w:rFonts w:hint="eastAsia" w:eastAsia="仿宋_GB2312"/>
          <w:sz w:val="32"/>
          <w:szCs w:val="32"/>
        </w:rPr>
        <w:t>万元，车辆为</w:t>
      </w:r>
      <w:r>
        <w:rPr>
          <w:rFonts w:hint="eastAsia" w:eastAsia="仿宋_GB2312"/>
          <w:sz w:val="32"/>
          <w:szCs w:val="32"/>
          <w:lang w:val="en-US" w:eastAsia="zh-CN"/>
        </w:rPr>
        <w:t>32.25</w:t>
      </w:r>
      <w:r>
        <w:rPr>
          <w:rFonts w:hint="eastAsia" w:eastAsia="仿宋_GB2312"/>
          <w:sz w:val="32"/>
          <w:szCs w:val="32"/>
        </w:rPr>
        <w:t>万元，其他固定资产价值</w:t>
      </w:r>
      <w:r>
        <w:rPr>
          <w:rFonts w:hint="eastAsia" w:eastAsia="仿宋_GB2312"/>
          <w:sz w:val="32"/>
          <w:szCs w:val="32"/>
          <w:lang w:val="en-US" w:eastAsia="zh-CN"/>
        </w:rPr>
        <w:t>752.94</w:t>
      </w:r>
      <w:r>
        <w:rPr>
          <w:rFonts w:hint="eastAsia" w:eastAsia="仿宋_GB2312"/>
          <w:sz w:val="32"/>
          <w:szCs w:val="32"/>
        </w:rPr>
        <w:t>万元。本年与上年相比增加</w:t>
      </w:r>
      <w:r>
        <w:rPr>
          <w:rFonts w:hint="eastAsia" w:eastAsia="仿宋_GB2312"/>
          <w:sz w:val="32"/>
          <w:szCs w:val="32"/>
          <w:lang w:val="en-US" w:eastAsia="zh-CN"/>
        </w:rPr>
        <w:t>104.40</w:t>
      </w:r>
      <w:r>
        <w:rPr>
          <w:rFonts w:hint="eastAsia" w:eastAsia="仿宋_GB2312"/>
          <w:sz w:val="32"/>
          <w:szCs w:val="32"/>
        </w:rPr>
        <w:t>万元，原因是计算机设备、打印设备、空调、办公家具、</w:t>
      </w:r>
      <w:r>
        <w:rPr>
          <w:rFonts w:hint="eastAsia" w:eastAsia="仿宋_GB2312"/>
          <w:sz w:val="32"/>
          <w:szCs w:val="32"/>
          <w:lang w:eastAsia="zh-CN"/>
        </w:rPr>
        <w:t>执法设备、</w:t>
      </w:r>
      <w:r>
        <w:rPr>
          <w:rFonts w:hint="eastAsia" w:eastAsia="仿宋_GB2312"/>
          <w:sz w:val="32"/>
          <w:szCs w:val="32"/>
        </w:rPr>
        <w:t>食品检验检测设备等</w:t>
      </w:r>
      <w:r>
        <w:rPr>
          <w:rFonts w:hint="eastAsia" w:eastAsia="仿宋_GB2312"/>
          <w:sz w:val="32"/>
          <w:szCs w:val="32"/>
          <w:lang w:eastAsia="zh-CN"/>
        </w:rPr>
        <w:t>设备的购置</w:t>
      </w:r>
      <w:r>
        <w:rPr>
          <w:rFonts w:hint="eastAsia" w:eastAsia="仿宋_GB2312"/>
          <w:sz w:val="32"/>
          <w:szCs w:val="32"/>
        </w:rPr>
        <w:t>。详见下表。</w:t>
      </w:r>
    </w:p>
    <w:p>
      <w:pPr>
        <w:spacing w:line="520" w:lineRule="exact"/>
        <w:ind w:firstLine="640"/>
        <w:rPr>
          <w:rFonts w:eastAsia="仿宋_GB2312"/>
          <w:color w:val="FF0000"/>
          <w:sz w:val="32"/>
          <w:szCs w:val="32"/>
        </w:rPr>
      </w:pPr>
    </w:p>
    <w:tbl>
      <w:tblPr>
        <w:tblStyle w:val="5"/>
        <w:tblW w:w="8900" w:type="dxa"/>
        <w:jc w:val="center"/>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jc w:val="center"/>
        </w:trPr>
        <w:tc>
          <w:tcPr>
            <w:tcW w:w="8900" w:type="dxa"/>
            <w:gridSpan w:val="3"/>
            <w:tcBorders>
              <w:top w:val="nil"/>
              <w:left w:val="nil"/>
              <w:bottom w:val="nil"/>
              <w:right w:val="nil"/>
            </w:tcBorders>
            <w:vAlign w:val="center"/>
          </w:tcPr>
          <w:p>
            <w:pPr>
              <w:widowControl/>
              <w:spacing w:line="520" w:lineRule="exact"/>
              <w:jc w:val="center"/>
              <w:rPr>
                <w:rFonts w:ascii="宋体" w:hAnsi="宋体" w:cs="宋体"/>
                <w:b/>
                <w:bCs/>
                <w:kern w:val="0"/>
                <w:sz w:val="28"/>
                <w:szCs w:val="28"/>
              </w:rPr>
            </w:pPr>
            <w:r>
              <w:rPr>
                <w:rFonts w:hint="eastAsia" w:ascii="宋体" w:hAnsi="宋体" w:cs="宋体"/>
                <w:b/>
                <w:bCs/>
                <w:kern w:val="0"/>
                <w:sz w:val="28"/>
                <w:szCs w:val="28"/>
              </w:rPr>
              <w:t>三河市食品药品监督管理局固定资产占用情况表</w:t>
            </w:r>
          </w:p>
        </w:tc>
      </w:tr>
      <w:tr>
        <w:tblPrEx>
          <w:tblLayout w:type="fixed"/>
          <w:tblCellMar>
            <w:top w:w="0" w:type="dxa"/>
            <w:left w:w="108" w:type="dxa"/>
            <w:bottom w:w="0" w:type="dxa"/>
            <w:right w:w="108" w:type="dxa"/>
          </w:tblCellMar>
        </w:tblPrEx>
        <w:trPr>
          <w:trHeight w:val="493" w:hRule="atLeast"/>
          <w:jc w:val="center"/>
        </w:trPr>
        <w:tc>
          <w:tcPr>
            <w:tcW w:w="5530" w:type="dxa"/>
            <w:gridSpan w:val="2"/>
            <w:tcBorders>
              <w:top w:val="nil"/>
              <w:left w:val="nil"/>
              <w:bottom w:val="nil"/>
              <w:right w:val="nil"/>
            </w:tcBorders>
            <w:vAlign w:val="center"/>
          </w:tcPr>
          <w:p>
            <w:pPr>
              <w:widowControl/>
              <w:spacing w:line="520" w:lineRule="exact"/>
              <w:jc w:val="left"/>
              <w:rPr>
                <w:kern w:val="0"/>
                <w:sz w:val="22"/>
              </w:rPr>
            </w:pPr>
            <w:r>
              <w:rPr>
                <w:rFonts w:hint="eastAsia" w:ascii="宋体" w:hAnsi="宋体" w:cs="宋体"/>
                <w:kern w:val="0"/>
                <w:sz w:val="22"/>
              </w:rPr>
              <w:t>编制部门：三河市食品药品监督管理局</w:t>
            </w:r>
          </w:p>
        </w:tc>
        <w:tc>
          <w:tcPr>
            <w:tcW w:w="3370" w:type="dxa"/>
            <w:tcBorders>
              <w:top w:val="nil"/>
              <w:left w:val="nil"/>
              <w:bottom w:val="nil"/>
              <w:right w:val="nil"/>
            </w:tcBorders>
            <w:vAlign w:val="center"/>
          </w:tcPr>
          <w:p>
            <w:pPr>
              <w:widowControl/>
              <w:spacing w:line="520" w:lineRule="exact"/>
              <w:jc w:val="left"/>
              <w:rPr>
                <w:kern w:val="0"/>
                <w:sz w:val="22"/>
              </w:rPr>
            </w:pPr>
            <w:r>
              <w:rPr>
                <w:kern w:val="0"/>
                <w:sz w:val="22"/>
              </w:rPr>
              <w:t>截止时间：</w:t>
            </w:r>
            <w:r>
              <w:rPr>
                <w:rFonts w:hint="eastAsia"/>
                <w:kern w:val="0"/>
                <w:sz w:val="22"/>
                <w:lang w:eastAsia="zh-CN"/>
              </w:rPr>
              <w:t>2017</w:t>
            </w:r>
            <w:r>
              <w:rPr>
                <w:kern w:val="0"/>
                <w:sz w:val="22"/>
              </w:rPr>
              <w:t xml:space="preserve">年12月31日  </w:t>
            </w:r>
          </w:p>
        </w:tc>
      </w:tr>
      <w:tr>
        <w:tblPrEx>
          <w:tblLayout w:type="fixed"/>
          <w:tblCellMar>
            <w:top w:w="0" w:type="dxa"/>
            <w:left w:w="108" w:type="dxa"/>
            <w:bottom w:w="0" w:type="dxa"/>
            <w:right w:w="108" w:type="dxa"/>
          </w:tblCellMar>
        </w:tblPrEx>
        <w:trPr>
          <w:trHeight w:val="571" w:hRule="atLeast"/>
          <w:jc w:val="center"/>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项   目</w:t>
            </w:r>
          </w:p>
        </w:tc>
        <w:tc>
          <w:tcPr>
            <w:tcW w:w="2081"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价值（金额单位：万元）</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Theme="minorEastAsia"/>
                <w:kern w:val="0"/>
                <w:sz w:val="22"/>
                <w:lang w:val="en-US" w:eastAsia="zh-CN"/>
              </w:rPr>
            </w:pPr>
            <w:r>
              <w:rPr>
                <w:rFonts w:hint="eastAsia"/>
                <w:kern w:val="0"/>
                <w:sz w:val="22"/>
                <w:lang w:val="en-US" w:eastAsia="zh-CN"/>
              </w:rPr>
              <w:t>880.19</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1、房屋（平方米）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550</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95</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 xml:space="preserve">  </w:t>
            </w:r>
            <w:r>
              <w:rPr>
                <w:rFonts w:hint="eastAsia"/>
                <w:kern w:val="0"/>
                <w:sz w:val="22"/>
              </w:rPr>
              <w:t xml:space="preserve">  其中：办公用房（平方米）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550</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95</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2、车辆（台、辆）</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2</w:t>
            </w:r>
          </w:p>
        </w:tc>
        <w:tc>
          <w:tcPr>
            <w:tcW w:w="3370" w:type="dxa"/>
            <w:tcBorders>
              <w:top w:val="nil"/>
              <w:left w:val="nil"/>
              <w:bottom w:val="single" w:color="auto" w:sz="4" w:space="0"/>
              <w:right w:val="single" w:color="auto" w:sz="4" w:space="0"/>
            </w:tcBorders>
            <w:vAlign w:val="center"/>
          </w:tcPr>
          <w:p>
            <w:pPr>
              <w:widowControl/>
              <w:spacing w:line="520" w:lineRule="exact"/>
              <w:jc w:val="center"/>
              <w:rPr>
                <w:color w:val="auto"/>
                <w:kern w:val="0"/>
                <w:sz w:val="22"/>
              </w:rPr>
            </w:pPr>
            <w:r>
              <w:rPr>
                <w:rFonts w:hint="eastAsia"/>
                <w:color w:val="auto"/>
                <w:kern w:val="0"/>
                <w:sz w:val="22"/>
              </w:rPr>
              <w:t>32.25</w:t>
            </w:r>
          </w:p>
        </w:tc>
      </w:tr>
      <w:tr>
        <w:tblPrEx>
          <w:tblLayout w:type="fixed"/>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0</w:t>
            </w:r>
          </w:p>
        </w:tc>
        <w:tc>
          <w:tcPr>
            <w:tcW w:w="3370" w:type="dxa"/>
            <w:tcBorders>
              <w:top w:val="nil"/>
              <w:left w:val="nil"/>
              <w:bottom w:val="single" w:color="auto" w:sz="4" w:space="0"/>
              <w:right w:val="single" w:color="auto" w:sz="4" w:space="0"/>
            </w:tcBorders>
            <w:vAlign w:val="center"/>
          </w:tcPr>
          <w:p>
            <w:pPr>
              <w:widowControl/>
              <w:spacing w:line="520" w:lineRule="exact"/>
              <w:jc w:val="center"/>
              <w:rPr>
                <w:color w:val="auto"/>
                <w:kern w:val="0"/>
                <w:sz w:val="22"/>
              </w:rPr>
            </w:pPr>
            <w:r>
              <w:rPr>
                <w:rFonts w:hint="eastAsia"/>
                <w:color w:val="auto"/>
                <w:kern w:val="0"/>
                <w:sz w:val="22"/>
              </w:rPr>
              <w:t>0</w:t>
            </w:r>
          </w:p>
        </w:tc>
      </w:tr>
      <w:tr>
        <w:tblPrEx>
          <w:tblLayout w:type="fixed"/>
          <w:tblCellMar>
            <w:top w:w="0" w:type="dxa"/>
            <w:left w:w="108" w:type="dxa"/>
            <w:bottom w:w="0" w:type="dxa"/>
            <w:right w:w="108" w:type="dxa"/>
          </w:tblCellMar>
        </w:tblPrEx>
        <w:trPr>
          <w:trHeight w:val="613"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4、其他固定资产</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Theme="minorEastAsia"/>
                <w:color w:val="auto"/>
                <w:kern w:val="0"/>
                <w:sz w:val="22"/>
                <w:lang w:val="en-US" w:eastAsia="zh-CN"/>
              </w:rPr>
            </w:pPr>
            <w:r>
              <w:rPr>
                <w:rFonts w:hint="eastAsia"/>
                <w:color w:val="auto"/>
                <w:kern w:val="0"/>
                <w:sz w:val="22"/>
                <w:lang w:val="en-US" w:eastAsia="zh-CN"/>
              </w:rPr>
              <w:t>752.94</w:t>
            </w:r>
          </w:p>
        </w:tc>
      </w:tr>
    </w:tbl>
    <w:p>
      <w:pPr>
        <w:autoSpaceDE w:val="0"/>
        <w:autoSpaceDN w:val="0"/>
        <w:adjustRightInd w:val="0"/>
        <w:spacing w:line="520" w:lineRule="exact"/>
        <w:ind w:firstLine="643" w:firstLineChars="200"/>
        <w:jc w:val="left"/>
        <w:rPr>
          <w:rFonts w:hint="eastAsia" w:ascii="楷体_GB2312" w:hAnsi="黑体" w:eastAsia="楷体_GB2312" w:cs="黑体"/>
          <w:b/>
          <w:bCs/>
          <w:sz w:val="32"/>
          <w:szCs w:val="32"/>
          <w:lang w:eastAsia="zh-CN"/>
        </w:rPr>
      </w:pPr>
      <w:r>
        <w:rPr>
          <w:rFonts w:hint="eastAsia" w:ascii="仿宋_GB2312" w:hAnsi="仿宋" w:eastAsia="仿宋_GB2312"/>
          <w:b/>
          <w:bCs/>
          <w:color w:val="auto"/>
          <w:sz w:val="32"/>
          <w:szCs w:val="32"/>
        </w:rPr>
        <w:t>4.其他需要说明的情况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left="0" w:leftChars="0" w:right="0" w:rightChars="0" w:firstLine="640" w:firstLineChars="200"/>
        <w:jc w:val="left"/>
        <w:textAlignment w:val="auto"/>
        <w:outlineLvl w:val="9"/>
        <w:rPr>
          <w:rFonts w:hint="eastAsia" w:ascii="楷体_GB2312" w:hAnsi="黑体" w:eastAsia="楷体_GB2312" w:cs="黑体"/>
          <w:b w:val="0"/>
          <w:bCs/>
          <w:color w:val="auto"/>
          <w:sz w:val="32"/>
          <w:szCs w:val="32"/>
          <w:lang w:eastAsia="zh-CN"/>
        </w:rPr>
      </w:pPr>
      <w:r>
        <w:rPr>
          <w:rFonts w:hint="eastAsia" w:ascii="仿宋_GB2312" w:hAnsi="仿宋_GB2312" w:eastAsia="仿宋_GB2312" w:cs="仿宋_GB2312"/>
          <w:color w:val="000000"/>
          <w:kern w:val="0"/>
          <w:sz w:val="32"/>
          <w:szCs w:val="32"/>
          <w:lang w:eastAsia="zh-CN"/>
        </w:rPr>
        <w:t>我单位无政府性基金支出，我单位无国有资本经营支出。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20" w:lineRule="exact"/>
        <w:ind w:left="0" w:leftChars="0" w:right="0" w:rightChars="0" w:firstLine="640" w:firstLineChars="200"/>
        <w:jc w:val="left"/>
        <w:textAlignment w:val="auto"/>
        <w:outlineLvl w:val="9"/>
        <w:rPr>
          <w:rFonts w:eastAsia="黑体"/>
          <w:sz w:val="32"/>
          <w:szCs w:val="32"/>
        </w:rPr>
      </w:pPr>
      <w:r>
        <w:rPr>
          <w:rFonts w:hint="eastAsia" w:eastAsia="黑体"/>
          <w:sz w:val="32"/>
          <w:szCs w:val="32"/>
        </w:rPr>
        <w:t>四、</w:t>
      </w:r>
      <w:r>
        <w:rPr>
          <w:rFonts w:eastAsia="黑体"/>
          <w:sz w:val="32"/>
          <w:szCs w:val="32"/>
        </w:rPr>
        <w:t>名词解释</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（二）事业收入：指事业单位开展专业业务活动及辅助活动所取得的收入。</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（三）其他收入：指除上述“财政拨款收入”、“事业收入”、“经营收入”等以外的收入。</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（八）基本支出：填列单位为保障机构正常运转、完成日常工作任务而发生的各项支出。</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（九）项目支出：填列单位为完成特定的行政工作任务或事业发展目标，在基本支出之外发生的各项支出</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（十四）公务用车购置：填列单位公务用车车辆购置支出（含车辆购置税）。</w:t>
      </w:r>
    </w:p>
    <w:p>
      <w:pPr>
        <w:widowControl/>
        <w:shd w:val="clear" w:color="auto" w:fill="FFFFFF"/>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（十五）其他交通工具购置：填列单位除公务用车外的其他各类交通工具（如船舶、飞机）购置支出（含车辆购置税）。</w:t>
      </w:r>
    </w:p>
    <w:p>
      <w:pPr>
        <w:widowControl/>
        <w:shd w:val="clear" w:color="auto" w:fill="FFFFFF"/>
        <w:spacing w:line="58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（十六）</w:t>
      </w:r>
      <w:r>
        <w:rPr>
          <w:rFonts w:eastAsia="仿宋_GB2312"/>
          <w:color w:val="000000"/>
          <w:kern w:val="0"/>
          <w:sz w:val="32"/>
          <w:szCs w:val="32"/>
        </w:rPr>
        <w:t xml:space="preserve"> </w:t>
      </w:r>
      <w:r>
        <w:rPr>
          <w:rFonts w:hint="eastAsia"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20" w:lineRule="exact"/>
        <w:ind w:firstLine="640" w:firstLineChars="200"/>
        <w:jc w:val="left"/>
        <w:rPr>
          <w:rFonts w:hint="eastAsia" w:ascii="仿宋_GB2312" w:hAnsi="仿宋_GB2312" w:eastAsia="仿宋_GB2312" w:cs="仿宋_GB2312"/>
          <w:sz w:val="32"/>
          <w:szCs w:val="32"/>
        </w:rPr>
      </w:pPr>
    </w:p>
    <w:p>
      <w:pPr>
        <w:widowControl/>
        <w:spacing w:line="520" w:lineRule="exact"/>
        <w:jc w:val="cente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文本框 12"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hpmqLgBAABV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672D3"/>
    <w:multiLevelType w:val="singleLevel"/>
    <w:tmpl w:val="832672D3"/>
    <w:lvl w:ilvl="0" w:tentative="0">
      <w:start w:val="7"/>
      <w:numFmt w:val="chineseCounting"/>
      <w:suff w:val="nothing"/>
      <w:lvlText w:val="（%1）"/>
      <w:lvlJc w:val="left"/>
      <w:rPr>
        <w:rFonts w:hint="eastAsia"/>
      </w:rPr>
    </w:lvl>
  </w:abstractNum>
  <w:abstractNum w:abstractNumId="1">
    <w:nsid w:val="58DCD4D1"/>
    <w:multiLevelType w:val="singleLevel"/>
    <w:tmpl w:val="58DCD4D1"/>
    <w:lvl w:ilvl="0" w:tentative="0">
      <w:start w:val="1"/>
      <w:numFmt w:val="chineseCounting"/>
      <w:suff w:val="nothing"/>
      <w:lvlText w:val="%1、"/>
      <w:lvlJc w:val="left"/>
    </w:lvl>
  </w:abstractNum>
  <w:abstractNum w:abstractNumId="2">
    <w:nsid w:val="59F2EB57"/>
    <w:multiLevelType w:val="singleLevel"/>
    <w:tmpl w:val="59F2EB57"/>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22B5"/>
    <w:rsid w:val="00281D32"/>
    <w:rsid w:val="002A2673"/>
    <w:rsid w:val="002D3225"/>
    <w:rsid w:val="002E2A3A"/>
    <w:rsid w:val="00362513"/>
    <w:rsid w:val="003968C7"/>
    <w:rsid w:val="003B6242"/>
    <w:rsid w:val="005766DB"/>
    <w:rsid w:val="006005A2"/>
    <w:rsid w:val="00615A25"/>
    <w:rsid w:val="006F1451"/>
    <w:rsid w:val="00786C3B"/>
    <w:rsid w:val="007E34D7"/>
    <w:rsid w:val="00897371"/>
    <w:rsid w:val="008A7142"/>
    <w:rsid w:val="008B0565"/>
    <w:rsid w:val="008B7818"/>
    <w:rsid w:val="0092170D"/>
    <w:rsid w:val="00934B3E"/>
    <w:rsid w:val="00994506"/>
    <w:rsid w:val="009D4483"/>
    <w:rsid w:val="00AE09A5"/>
    <w:rsid w:val="00B13354"/>
    <w:rsid w:val="00B65846"/>
    <w:rsid w:val="00D70B89"/>
    <w:rsid w:val="00DF1F3C"/>
    <w:rsid w:val="00E963FE"/>
    <w:rsid w:val="00EC354A"/>
    <w:rsid w:val="00F174FC"/>
    <w:rsid w:val="013A6240"/>
    <w:rsid w:val="01B003BB"/>
    <w:rsid w:val="03AD74BB"/>
    <w:rsid w:val="06777E86"/>
    <w:rsid w:val="09E95656"/>
    <w:rsid w:val="0A3848EC"/>
    <w:rsid w:val="10976A00"/>
    <w:rsid w:val="10F038EC"/>
    <w:rsid w:val="124277B2"/>
    <w:rsid w:val="13E226C0"/>
    <w:rsid w:val="14A2068A"/>
    <w:rsid w:val="15541C0E"/>
    <w:rsid w:val="168101DF"/>
    <w:rsid w:val="197F405C"/>
    <w:rsid w:val="1D5B6C78"/>
    <w:rsid w:val="1F463720"/>
    <w:rsid w:val="21E92E1E"/>
    <w:rsid w:val="24721A19"/>
    <w:rsid w:val="248540E7"/>
    <w:rsid w:val="252B7214"/>
    <w:rsid w:val="27026E47"/>
    <w:rsid w:val="287F5181"/>
    <w:rsid w:val="2A8F283C"/>
    <w:rsid w:val="2B4537DD"/>
    <w:rsid w:val="2B772BF2"/>
    <w:rsid w:val="2D10755C"/>
    <w:rsid w:val="2E88062A"/>
    <w:rsid w:val="366303CA"/>
    <w:rsid w:val="366926DE"/>
    <w:rsid w:val="378531FA"/>
    <w:rsid w:val="3A8A43EE"/>
    <w:rsid w:val="3F75551C"/>
    <w:rsid w:val="402D6D22"/>
    <w:rsid w:val="428C42F1"/>
    <w:rsid w:val="43C61F04"/>
    <w:rsid w:val="44D863AD"/>
    <w:rsid w:val="46075AAA"/>
    <w:rsid w:val="460B25C6"/>
    <w:rsid w:val="494A6B71"/>
    <w:rsid w:val="4B130ECA"/>
    <w:rsid w:val="4CA90201"/>
    <w:rsid w:val="4EAA10A2"/>
    <w:rsid w:val="56253231"/>
    <w:rsid w:val="582A2217"/>
    <w:rsid w:val="58FE54DB"/>
    <w:rsid w:val="5DF5167D"/>
    <w:rsid w:val="61067D81"/>
    <w:rsid w:val="61B1543F"/>
    <w:rsid w:val="69511CE0"/>
    <w:rsid w:val="6F9E6C70"/>
    <w:rsid w:val="70EE5D66"/>
    <w:rsid w:val="719A71E8"/>
    <w:rsid w:val="751627CC"/>
    <w:rsid w:val="79A8781B"/>
    <w:rsid w:val="79CD033C"/>
    <w:rsid w:val="79CF3F31"/>
    <w:rsid w:val="7A621C08"/>
    <w:rsid w:val="7AF42B2C"/>
    <w:rsid w:val="7B9C0DFE"/>
    <w:rsid w:val="7BE8294E"/>
    <w:rsid w:val="7E4A472C"/>
    <w:rsid w:val="7EC07BED"/>
    <w:rsid w:val="7F7767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651</Words>
  <Characters>3715</Characters>
  <Lines>30</Lines>
  <Paragraphs>8</Paragraphs>
  <TotalTime>1</TotalTime>
  <ScaleCrop>false</ScaleCrop>
  <LinksUpToDate>false</LinksUpToDate>
  <CharactersWithSpaces>4358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2017-09-04T06:26:00Z</dcterms:created>
  <dc:creator>Administrator</dc:creator>
  <cp:lastModifiedBy>Administrator</cp:lastModifiedBy>
  <dcterms:modified xsi:type="dcterms:W3CDTF">2019-02-27T06:36:07Z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